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DCC18DF">
      <w:pPr>
        <w:spacing w:before="200" w:after="1000" w:line="560" w:lineRule="exact"/>
        <w:jc w:val="left"/>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4"/>
          <w:szCs w:val="24"/>
        </w:rPr>
        <w:t xml:space="preserve">证券代码：000966                </w:t>
      </w:r>
      <w:r>
        <w:rPr>
          <w:rFonts w:hint="default" w:ascii="Times New Roman" w:hAnsi="Times New Roman" w:eastAsia="宋体" w:cs="Times New Roman"/>
          <w:sz w:val="24"/>
          <w:szCs w:val="24"/>
          <w:lang w:val="en-US" w:eastAsia="zh-CN"/>
        </w:rPr>
        <w:t xml:space="preserve">        </w:t>
      </w:r>
      <w:r>
        <w:rPr>
          <w:rFonts w:hint="eastAsia" w:cs="Times New Roman"/>
          <w:sz w:val="24"/>
          <w:szCs w:val="24"/>
          <w:lang w:val="en-US" w:eastAsia="zh-CN"/>
        </w:rPr>
        <w:t xml:space="preserve">    </w:t>
      </w:r>
      <w:r>
        <w:rPr>
          <w:rFonts w:hint="default" w:ascii="Times New Roman" w:hAnsi="Times New Roman" w:eastAsia="宋体" w:cs="Times New Roman"/>
          <w:sz w:val="24"/>
          <w:szCs w:val="24"/>
        </w:rPr>
        <w:t xml:space="preserve">证券简称：长源电力                </w:t>
      </w:r>
      <w:r>
        <w:rPr>
          <w:rFonts w:hint="default" w:ascii="Times New Roman" w:hAnsi="Times New Roman" w:eastAsia="宋体" w:cs="Times New Roman"/>
          <w:sz w:val="24"/>
          <w:szCs w:val="24"/>
          <w:lang w:val="en-US" w:eastAsia="zh-CN"/>
        </w:rPr>
        <w:t xml:space="preserve">          </w:t>
      </w:r>
      <w:r>
        <w:rPr>
          <w:rFonts w:hint="default" w:ascii="Times New Roman" w:hAnsi="Times New Roman" w:eastAsia="宋体" w:cs="Times New Roman"/>
          <w:sz w:val="24"/>
          <w:szCs w:val="24"/>
        </w:rPr>
        <w:t>公告编号：</w:t>
      </w:r>
      <w:r>
        <w:rPr>
          <w:rFonts w:hint="default" w:ascii="Times New Roman" w:hAnsi="Times New Roman" w:eastAsia="宋体" w:cs="Times New Roman"/>
          <w:sz w:val="24"/>
          <w:szCs w:val="24"/>
          <w:lang w:val="en-US" w:eastAsia="zh-CN"/>
        </w:rPr>
        <w:t>2026-0</w:t>
      </w:r>
      <w:r>
        <w:rPr>
          <w:rFonts w:hint="eastAsia" w:cs="Times New Roman"/>
          <w:sz w:val="24"/>
          <w:szCs w:val="24"/>
          <w:lang w:val="en-US" w:eastAsia="zh-CN"/>
        </w:rPr>
        <w:t>52</w:t>
      </w:r>
    </w:p>
    <w:p w14:paraId="506421F1">
      <w:pPr>
        <w:spacing w:before="0" w:after="1000" w:line="400" w:lineRule="exact"/>
        <w:jc w:val="center"/>
        <w:rPr>
          <w:rFonts w:hint="default" w:ascii="Times New Roman" w:hAnsi="Times New Roman" w:eastAsia="方正小标宋简体" w:cs="Times New Roman"/>
          <w:b w:val="0"/>
          <w:bCs w:val="0"/>
          <w:sz w:val="36"/>
          <w:szCs w:val="36"/>
        </w:rPr>
      </w:pPr>
    </w:p>
    <w:p w14:paraId="30F68A3B">
      <w:pPr>
        <w:spacing w:before="0" w:after="1000" w:line="400" w:lineRule="exact"/>
        <w:jc w:val="center"/>
        <w:rPr>
          <w:rFonts w:hint="default" w:ascii="Times New Roman" w:hAnsi="Times New Roman" w:eastAsia="方正小标宋简体" w:cs="Times New Roman"/>
          <w:b w:val="0"/>
          <w:bCs w:val="0"/>
          <w:sz w:val="36"/>
          <w:szCs w:val="36"/>
        </w:rPr>
      </w:pPr>
      <w:r>
        <w:rPr>
          <w:rFonts w:hint="default" w:ascii="Times New Roman" w:hAnsi="Times New Roman" w:eastAsia="方正小标宋简体" w:cs="Times New Roman"/>
          <w:b w:val="0"/>
          <w:bCs w:val="0"/>
          <w:sz w:val="36"/>
          <w:szCs w:val="36"/>
        </w:rPr>
        <w:t>国家能源集团长源电力股份有限公司</w:t>
      </w:r>
    </w:p>
    <w:p w14:paraId="2F63484A">
      <w:pPr>
        <w:spacing w:before="0" w:after="1000" w:line="400" w:lineRule="exact"/>
        <w:jc w:val="center"/>
        <w:rPr>
          <w:rFonts w:hint="default" w:ascii="Times New Roman" w:hAnsi="Times New Roman" w:eastAsia="方正小标宋简体" w:cs="Times New Roman"/>
          <w:b w:val="0"/>
          <w:bCs w:val="0"/>
          <w:sz w:val="36"/>
          <w:szCs w:val="36"/>
        </w:rPr>
      </w:pPr>
      <w:r>
        <w:rPr>
          <w:rFonts w:hint="default" w:ascii="Times New Roman" w:hAnsi="Times New Roman" w:eastAsia="方正小标宋简体" w:cs="Times New Roman"/>
          <w:b w:val="0"/>
          <w:bCs w:val="0"/>
          <w:sz w:val="36"/>
          <w:szCs w:val="36"/>
        </w:rPr>
        <w:t>2026年半年度报告摘要</w:t>
      </w:r>
    </w:p>
    <w:p w14:paraId="2C859F33">
      <w:pPr>
        <w:rPr>
          <w:rFonts w:hint="default" w:ascii="Times New Roman" w:hAnsi="Times New Roman" w:cs="Times New Roman"/>
        </w:rPr>
      </w:pPr>
      <w:r>
        <w:rPr>
          <w:rFonts w:hint="default" w:ascii="Times New Roman" w:hAnsi="Times New Roman" w:cs="Times New Roman"/>
        </w:rPr>
        <w:br w:type="page"/>
      </w:r>
    </w:p>
    <w:p w14:paraId="0621C4EB">
      <w:pPr>
        <w:pStyle w:val="2"/>
        <w:keepNext/>
        <w:keepLines/>
        <w:spacing w:before="300" w:after="300" w:line="320" w:lineRule="exact"/>
        <w:jc w:val="left"/>
        <w:outlineLvl w:val="1"/>
        <w:rPr>
          <w:rFonts w:hint="default" w:ascii="Times New Roman" w:hAnsi="Times New Roman" w:eastAsia="宋体" w:cs="Times New Roman"/>
          <w:b/>
          <w:bCs/>
          <w:sz w:val="24"/>
          <w:szCs w:val="24"/>
        </w:rPr>
      </w:pPr>
      <w:bookmarkStart w:id="0" w:name="_Toc988889"/>
      <w:r>
        <w:rPr>
          <w:rFonts w:hint="default" w:ascii="Times New Roman" w:hAnsi="Times New Roman" w:eastAsia="宋体" w:cs="Times New Roman"/>
          <w:b/>
          <w:bCs/>
          <w:sz w:val="24"/>
          <w:szCs w:val="24"/>
        </w:rPr>
        <w:t>一、重要提示</w:t>
      </w:r>
      <w:bookmarkEnd w:id="0"/>
    </w:p>
    <w:p w14:paraId="6185C1F4">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本半年度报告摘要来自半年度报告全文，为全面了解本公司的经营成果、财务状况及未来发展规划，投资者应当到证监会指定媒体仔细阅读半年度报告全文。</w:t>
      </w:r>
    </w:p>
    <w:p w14:paraId="58890C05">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所有董事均已出席了审议本报告的董事会会议。</w:t>
      </w:r>
    </w:p>
    <w:p w14:paraId="1FFBF637">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非标准审计意见提示</w:t>
      </w:r>
    </w:p>
    <w:p w14:paraId="05B86B3C">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 xml:space="preserve">□适用 </w:t>
      </w:r>
      <w:r>
        <w:rPr>
          <w:rFonts w:hint="eastAsia" w:asciiTheme="minorEastAsia" w:hAnsiTheme="minorEastAsia" w:eastAsiaTheme="minorEastAsia" w:cstheme="minorEastAsia"/>
          <w:sz w:val="21"/>
          <w:szCs w:val="21"/>
        </w:rPr>
        <w:sym w:font="Wingdings 2" w:char="F052"/>
      </w:r>
      <w:r>
        <w:rPr>
          <w:rFonts w:hint="eastAsia" w:asciiTheme="minorEastAsia" w:hAnsiTheme="minorEastAsia" w:eastAsiaTheme="minorEastAsia" w:cstheme="minorEastAsia"/>
          <w:sz w:val="21"/>
          <w:szCs w:val="21"/>
        </w:rPr>
        <w:t>不适用</w:t>
      </w:r>
    </w:p>
    <w:p w14:paraId="1780ED1A">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董事会审议的报告期利润分配预案或公积金转增股本预案</w:t>
      </w:r>
    </w:p>
    <w:p w14:paraId="07C49CDA">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 xml:space="preserve">□适用 </w:t>
      </w:r>
      <w:r>
        <w:rPr>
          <w:rFonts w:hint="eastAsia" w:asciiTheme="minorEastAsia" w:hAnsiTheme="minorEastAsia" w:eastAsiaTheme="minorEastAsia" w:cstheme="minorEastAsia"/>
          <w:sz w:val="21"/>
          <w:szCs w:val="21"/>
        </w:rPr>
        <w:sym w:font="Wingdings 2" w:char="F052"/>
      </w:r>
      <w:r>
        <w:rPr>
          <w:rFonts w:hint="eastAsia" w:asciiTheme="minorEastAsia" w:hAnsiTheme="minorEastAsia" w:eastAsiaTheme="minorEastAsia" w:cstheme="minorEastAsia"/>
          <w:sz w:val="21"/>
          <w:szCs w:val="21"/>
        </w:rPr>
        <w:t>不适用</w:t>
      </w:r>
    </w:p>
    <w:p w14:paraId="76CEA23E">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公司计划不派发现金红利，不送红股，不以公积金转增股本。</w:t>
      </w:r>
    </w:p>
    <w:p w14:paraId="012CE68D">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董事会决议通过的本报告期优先股利润分配预案</w:t>
      </w:r>
    </w:p>
    <w:p w14:paraId="5400250D">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 xml:space="preserve">□适用 </w:t>
      </w:r>
      <w:r>
        <w:rPr>
          <w:rFonts w:hint="eastAsia" w:asciiTheme="minorEastAsia" w:hAnsiTheme="minorEastAsia" w:eastAsiaTheme="minorEastAsia" w:cstheme="minorEastAsia"/>
          <w:sz w:val="21"/>
          <w:szCs w:val="21"/>
        </w:rPr>
        <w:sym w:font="Wingdings 2" w:char="F052"/>
      </w:r>
      <w:r>
        <w:rPr>
          <w:rFonts w:hint="eastAsia" w:asciiTheme="minorEastAsia" w:hAnsiTheme="minorEastAsia" w:eastAsiaTheme="minorEastAsia" w:cstheme="minorEastAsia"/>
          <w:sz w:val="21"/>
          <w:szCs w:val="21"/>
        </w:rPr>
        <w:t>不适用</w:t>
      </w:r>
    </w:p>
    <w:p w14:paraId="4B3FC9CF">
      <w:pPr>
        <w:pStyle w:val="2"/>
        <w:keepNext/>
        <w:keepLines/>
        <w:spacing w:before="300" w:after="300" w:line="320" w:lineRule="exact"/>
        <w:jc w:val="left"/>
        <w:outlineLvl w:val="1"/>
        <w:rPr>
          <w:rFonts w:hint="default" w:ascii="Times New Roman" w:hAnsi="Times New Roman" w:eastAsia="宋体" w:cs="Times New Roman"/>
          <w:b/>
          <w:bCs/>
          <w:sz w:val="24"/>
          <w:szCs w:val="24"/>
        </w:rPr>
      </w:pPr>
      <w:bookmarkStart w:id="1" w:name="_Toc988890"/>
      <w:r>
        <w:rPr>
          <w:rFonts w:hint="default" w:ascii="Times New Roman" w:hAnsi="Times New Roman" w:eastAsia="宋体" w:cs="Times New Roman"/>
          <w:b/>
          <w:bCs/>
          <w:sz w:val="24"/>
          <w:szCs w:val="24"/>
        </w:rPr>
        <w:t>二、公司基本情况</w:t>
      </w:r>
      <w:bookmarkEnd w:id="1"/>
    </w:p>
    <w:p w14:paraId="19616E17">
      <w:pPr>
        <w:pStyle w:val="3"/>
        <w:keepNext/>
        <w:keepLines/>
        <w:spacing w:before="300" w:after="300" w:line="280" w:lineRule="exact"/>
        <w:jc w:val="left"/>
        <w:outlineLvl w:val="2"/>
        <w:rPr>
          <w:rFonts w:hint="default" w:ascii="Times New Roman" w:hAnsi="Times New Roman" w:eastAsia="宋体" w:cs="Times New Roman"/>
          <w:b/>
          <w:bCs/>
          <w:sz w:val="21"/>
          <w:szCs w:val="21"/>
        </w:rPr>
      </w:pPr>
      <w:bookmarkStart w:id="2" w:name="_Toc988891"/>
      <w:r>
        <w:rPr>
          <w:rFonts w:hint="default" w:ascii="Times New Roman" w:hAnsi="Times New Roman" w:eastAsia="宋体" w:cs="Times New Roman"/>
          <w:b/>
          <w:bCs/>
          <w:sz w:val="21"/>
          <w:szCs w:val="21"/>
        </w:rPr>
        <w:t>1、公司简介</w:t>
      </w:r>
      <w:bookmarkEnd w:id="2"/>
    </w:p>
    <w:tbl>
      <w:tblPr>
        <w:tblStyle w:val="7"/>
        <w:tblW w:w="9639" w:type="dxa"/>
        <w:jc w:val="center"/>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3213"/>
        <w:gridCol w:w="2142"/>
        <w:gridCol w:w="1071"/>
        <w:gridCol w:w="1071"/>
        <w:gridCol w:w="2142"/>
      </w:tblGrid>
      <w:tr w14:paraId="5B0C82F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jc w:val="center"/>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14:paraId="2182E321">
            <w:pPr>
              <w:spacing w:before="40" w:after="40" w:line="240" w:lineRule="exact"/>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股票简称</w:t>
            </w:r>
          </w:p>
        </w:tc>
        <w:tc>
          <w:tcPr>
            <w:tcW w:w="2142" w:type="dxa"/>
            <w:tcBorders>
              <w:top w:val="single" w:color="auto" w:sz="2" w:space="0"/>
              <w:left w:val="single" w:color="auto" w:sz="2" w:space="0"/>
              <w:bottom w:val="single" w:color="auto" w:sz="2" w:space="0"/>
              <w:right w:val="single" w:color="auto" w:sz="2" w:space="0"/>
            </w:tcBorders>
            <w:vAlign w:val="center"/>
          </w:tcPr>
          <w:p w14:paraId="5417729E">
            <w:pPr>
              <w:spacing w:before="0" w:after="0" w:line="240" w:lineRule="exact"/>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长源电力</w:t>
            </w:r>
          </w:p>
        </w:tc>
        <w:tc>
          <w:tcPr>
            <w:tcW w:w="2142" w:type="dxa"/>
            <w:gridSpan w:val="2"/>
            <w:tcBorders>
              <w:top w:val="single" w:color="auto" w:sz="2" w:space="0"/>
              <w:left w:val="single" w:color="auto" w:sz="2" w:space="0"/>
              <w:bottom w:val="single" w:color="auto" w:sz="2" w:space="0"/>
              <w:right w:val="single" w:color="auto" w:sz="2" w:space="0"/>
            </w:tcBorders>
            <w:shd w:val="clear" w:color="auto" w:fill="D3D3D3"/>
            <w:vAlign w:val="center"/>
          </w:tcPr>
          <w:p w14:paraId="4F8C15FD">
            <w:pPr>
              <w:spacing w:before="40" w:after="40" w:line="240" w:lineRule="exact"/>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股票代码</w:t>
            </w:r>
          </w:p>
        </w:tc>
        <w:tc>
          <w:tcPr>
            <w:tcW w:w="2142" w:type="dxa"/>
            <w:tcBorders>
              <w:top w:val="single" w:color="auto" w:sz="2" w:space="0"/>
              <w:left w:val="single" w:color="auto" w:sz="2" w:space="0"/>
              <w:bottom w:val="single" w:color="auto" w:sz="2" w:space="0"/>
              <w:right w:val="single" w:color="auto" w:sz="2" w:space="0"/>
            </w:tcBorders>
            <w:vAlign w:val="center"/>
          </w:tcPr>
          <w:p w14:paraId="218B572B">
            <w:pPr>
              <w:spacing w:before="0" w:after="0" w:line="240" w:lineRule="exact"/>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000966</w:t>
            </w:r>
          </w:p>
        </w:tc>
      </w:tr>
      <w:tr w14:paraId="68A8548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jc w:val="center"/>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14:paraId="45678DE7">
            <w:pPr>
              <w:spacing w:before="40" w:after="40" w:line="240" w:lineRule="exact"/>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股票上市交易所</w:t>
            </w:r>
          </w:p>
        </w:tc>
        <w:tc>
          <w:tcPr>
            <w:tcW w:w="6426" w:type="dxa"/>
            <w:gridSpan w:val="4"/>
            <w:tcBorders>
              <w:top w:val="single" w:color="auto" w:sz="2" w:space="0"/>
              <w:left w:val="single" w:color="auto" w:sz="2" w:space="0"/>
              <w:bottom w:val="single" w:color="auto" w:sz="2" w:space="0"/>
              <w:right w:val="single" w:color="auto" w:sz="2" w:space="0"/>
            </w:tcBorders>
            <w:vAlign w:val="center"/>
          </w:tcPr>
          <w:p w14:paraId="3AF33EA6">
            <w:pPr>
              <w:spacing w:before="0" w:after="0" w:line="240" w:lineRule="exact"/>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深圳证券交易所</w:t>
            </w:r>
          </w:p>
        </w:tc>
      </w:tr>
      <w:tr w14:paraId="4BC7B97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jc w:val="center"/>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14:paraId="406D3AF5">
            <w:pPr>
              <w:spacing w:before="40" w:after="40" w:line="240" w:lineRule="exact"/>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联系人和联系方式</w:t>
            </w:r>
          </w:p>
        </w:tc>
        <w:tc>
          <w:tcPr>
            <w:tcW w:w="3213" w:type="dxa"/>
            <w:gridSpan w:val="2"/>
            <w:tcBorders>
              <w:top w:val="single" w:color="auto" w:sz="2" w:space="0"/>
              <w:left w:val="single" w:color="auto" w:sz="2" w:space="0"/>
              <w:bottom w:val="single" w:color="auto" w:sz="2" w:space="0"/>
              <w:right w:val="single" w:color="auto" w:sz="2" w:space="0"/>
            </w:tcBorders>
            <w:shd w:val="clear" w:color="auto" w:fill="D3D3D3"/>
            <w:vAlign w:val="center"/>
          </w:tcPr>
          <w:p w14:paraId="7A697CC9">
            <w:pPr>
              <w:spacing w:before="40" w:after="40" w:line="240" w:lineRule="exact"/>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董事会秘书</w:t>
            </w:r>
          </w:p>
        </w:tc>
        <w:tc>
          <w:tcPr>
            <w:tcW w:w="3213" w:type="dxa"/>
            <w:gridSpan w:val="2"/>
            <w:tcBorders>
              <w:top w:val="single" w:color="auto" w:sz="2" w:space="0"/>
              <w:left w:val="single" w:color="auto" w:sz="2" w:space="0"/>
              <w:bottom w:val="single" w:color="auto" w:sz="2" w:space="0"/>
              <w:right w:val="single" w:color="auto" w:sz="2" w:space="0"/>
            </w:tcBorders>
            <w:shd w:val="clear" w:color="auto" w:fill="D3D3D3"/>
            <w:vAlign w:val="center"/>
          </w:tcPr>
          <w:p w14:paraId="54EE7A85">
            <w:pPr>
              <w:spacing w:before="40" w:after="40" w:line="240" w:lineRule="exact"/>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证券事务代表</w:t>
            </w:r>
          </w:p>
        </w:tc>
      </w:tr>
      <w:tr w14:paraId="624D8E6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jc w:val="center"/>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14:paraId="5E9E9FBD">
            <w:pPr>
              <w:spacing w:before="40" w:after="40" w:line="240" w:lineRule="exact"/>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姓名</w:t>
            </w:r>
          </w:p>
        </w:tc>
        <w:tc>
          <w:tcPr>
            <w:tcW w:w="3213" w:type="dxa"/>
            <w:gridSpan w:val="2"/>
            <w:tcBorders>
              <w:top w:val="single" w:color="auto" w:sz="2" w:space="0"/>
              <w:left w:val="single" w:color="auto" w:sz="2" w:space="0"/>
              <w:bottom w:val="single" w:color="auto" w:sz="2" w:space="0"/>
              <w:right w:val="single" w:color="auto" w:sz="2" w:space="0"/>
            </w:tcBorders>
            <w:vAlign w:val="center"/>
          </w:tcPr>
          <w:p w14:paraId="4D31C78B">
            <w:pPr>
              <w:spacing w:before="0" w:after="0" w:line="240" w:lineRule="exact"/>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潘承亮</w:t>
            </w:r>
          </w:p>
        </w:tc>
        <w:tc>
          <w:tcPr>
            <w:tcW w:w="3213" w:type="dxa"/>
            <w:gridSpan w:val="2"/>
            <w:tcBorders>
              <w:top w:val="single" w:color="auto" w:sz="2" w:space="0"/>
              <w:left w:val="single" w:color="auto" w:sz="2" w:space="0"/>
              <w:bottom w:val="single" w:color="auto" w:sz="2" w:space="0"/>
              <w:right w:val="single" w:color="auto" w:sz="2" w:space="0"/>
            </w:tcBorders>
            <w:vAlign w:val="center"/>
          </w:tcPr>
          <w:p w14:paraId="374BCDF1">
            <w:pPr>
              <w:spacing w:before="0" w:after="0" w:line="240" w:lineRule="exact"/>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叶建兵</w:t>
            </w:r>
          </w:p>
        </w:tc>
      </w:tr>
      <w:tr w14:paraId="2AAC019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jc w:val="center"/>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14:paraId="45EA299B">
            <w:pPr>
              <w:spacing w:before="40" w:after="40" w:line="240" w:lineRule="exact"/>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办公地址</w:t>
            </w:r>
          </w:p>
        </w:tc>
        <w:tc>
          <w:tcPr>
            <w:tcW w:w="3213" w:type="dxa"/>
            <w:gridSpan w:val="2"/>
            <w:tcBorders>
              <w:top w:val="single" w:color="auto" w:sz="2" w:space="0"/>
              <w:left w:val="single" w:color="auto" w:sz="2" w:space="0"/>
              <w:bottom w:val="single" w:color="auto" w:sz="2" w:space="0"/>
              <w:right w:val="single" w:color="auto" w:sz="2" w:space="0"/>
            </w:tcBorders>
            <w:vAlign w:val="center"/>
          </w:tcPr>
          <w:p w14:paraId="2520CF8B">
            <w:pPr>
              <w:spacing w:before="0" w:after="0" w:line="240" w:lineRule="exact"/>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湖北省武汉市洪山区徐东大街63号国家能源大厦</w:t>
            </w:r>
          </w:p>
        </w:tc>
        <w:tc>
          <w:tcPr>
            <w:tcW w:w="3213" w:type="dxa"/>
            <w:gridSpan w:val="2"/>
            <w:tcBorders>
              <w:top w:val="single" w:color="auto" w:sz="2" w:space="0"/>
              <w:left w:val="single" w:color="auto" w:sz="2" w:space="0"/>
              <w:bottom w:val="single" w:color="auto" w:sz="2" w:space="0"/>
              <w:right w:val="single" w:color="auto" w:sz="2" w:space="0"/>
            </w:tcBorders>
            <w:vAlign w:val="center"/>
          </w:tcPr>
          <w:p w14:paraId="4EAA858B">
            <w:pPr>
              <w:spacing w:before="0" w:after="0" w:line="240" w:lineRule="exact"/>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湖北省武汉市洪山区徐东大街63号国家能源大厦</w:t>
            </w:r>
          </w:p>
        </w:tc>
      </w:tr>
      <w:tr w14:paraId="35D3FA4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jc w:val="center"/>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14:paraId="10A8F3D8">
            <w:pPr>
              <w:spacing w:before="40" w:after="40" w:line="240" w:lineRule="exact"/>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电话</w:t>
            </w:r>
          </w:p>
        </w:tc>
        <w:tc>
          <w:tcPr>
            <w:tcW w:w="3213" w:type="dxa"/>
            <w:gridSpan w:val="2"/>
            <w:tcBorders>
              <w:top w:val="single" w:color="auto" w:sz="2" w:space="0"/>
              <w:left w:val="single" w:color="auto" w:sz="2" w:space="0"/>
              <w:bottom w:val="single" w:color="auto" w:sz="2" w:space="0"/>
              <w:right w:val="single" w:color="auto" w:sz="2" w:space="0"/>
            </w:tcBorders>
            <w:vAlign w:val="center"/>
          </w:tcPr>
          <w:p w14:paraId="43480941">
            <w:pPr>
              <w:spacing w:before="0" w:after="0" w:line="240" w:lineRule="exact"/>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027-88717023</w:t>
            </w:r>
          </w:p>
        </w:tc>
        <w:tc>
          <w:tcPr>
            <w:tcW w:w="3213" w:type="dxa"/>
            <w:gridSpan w:val="2"/>
            <w:tcBorders>
              <w:top w:val="single" w:color="auto" w:sz="2" w:space="0"/>
              <w:left w:val="single" w:color="auto" w:sz="2" w:space="0"/>
              <w:bottom w:val="single" w:color="auto" w:sz="2" w:space="0"/>
              <w:right w:val="single" w:color="auto" w:sz="2" w:space="0"/>
            </w:tcBorders>
            <w:vAlign w:val="center"/>
          </w:tcPr>
          <w:p w14:paraId="56377F02">
            <w:pPr>
              <w:spacing w:before="0" w:after="0" w:line="240" w:lineRule="exact"/>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027-88717132</w:t>
            </w:r>
          </w:p>
        </w:tc>
      </w:tr>
      <w:tr w14:paraId="3AB4780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jc w:val="center"/>
        </w:trPr>
        <w:tc>
          <w:tcPr>
            <w:tcW w:w="3213" w:type="dxa"/>
            <w:tcBorders>
              <w:top w:val="single" w:color="auto" w:sz="2" w:space="0"/>
              <w:left w:val="single" w:color="auto" w:sz="2" w:space="0"/>
              <w:bottom w:val="single" w:color="auto" w:sz="2" w:space="0"/>
              <w:right w:val="single" w:color="auto" w:sz="2" w:space="0"/>
            </w:tcBorders>
            <w:shd w:val="clear" w:color="auto" w:fill="D3D3D3"/>
            <w:vAlign w:val="center"/>
          </w:tcPr>
          <w:p w14:paraId="75E3239D">
            <w:pPr>
              <w:spacing w:before="40" w:after="40" w:line="240" w:lineRule="exact"/>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电子信箱</w:t>
            </w:r>
          </w:p>
        </w:tc>
        <w:tc>
          <w:tcPr>
            <w:tcW w:w="3213" w:type="dxa"/>
            <w:gridSpan w:val="2"/>
            <w:tcBorders>
              <w:top w:val="single" w:color="auto" w:sz="2" w:space="0"/>
              <w:left w:val="single" w:color="auto" w:sz="2" w:space="0"/>
              <w:bottom w:val="single" w:color="auto" w:sz="2" w:space="0"/>
              <w:right w:val="single" w:color="auto" w:sz="2" w:space="0"/>
            </w:tcBorders>
            <w:vAlign w:val="center"/>
          </w:tcPr>
          <w:p w14:paraId="76A4B143">
            <w:pPr>
              <w:spacing w:before="0" w:after="0" w:line="240" w:lineRule="exact"/>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12112049@ceic.com</w:t>
            </w:r>
          </w:p>
        </w:tc>
        <w:tc>
          <w:tcPr>
            <w:tcW w:w="3213" w:type="dxa"/>
            <w:gridSpan w:val="2"/>
            <w:tcBorders>
              <w:top w:val="single" w:color="auto" w:sz="2" w:space="0"/>
              <w:left w:val="single" w:color="auto" w:sz="2" w:space="0"/>
              <w:bottom w:val="single" w:color="auto" w:sz="2" w:space="0"/>
              <w:right w:val="single" w:color="auto" w:sz="2" w:space="0"/>
            </w:tcBorders>
            <w:vAlign w:val="center"/>
          </w:tcPr>
          <w:p w14:paraId="58FB7298">
            <w:pPr>
              <w:spacing w:before="0" w:after="0" w:line="240" w:lineRule="exact"/>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12089730@ceic.com</w:t>
            </w:r>
          </w:p>
        </w:tc>
      </w:tr>
    </w:tbl>
    <w:p w14:paraId="045AB8F2">
      <w:pPr>
        <w:pStyle w:val="3"/>
        <w:keepNext/>
        <w:keepLines/>
        <w:spacing w:before="300" w:after="300" w:line="280" w:lineRule="exact"/>
        <w:jc w:val="left"/>
        <w:outlineLvl w:val="2"/>
        <w:rPr>
          <w:rFonts w:hint="default" w:ascii="Times New Roman" w:hAnsi="Times New Roman" w:eastAsia="宋体" w:cs="Times New Roman"/>
          <w:b/>
          <w:bCs/>
          <w:sz w:val="21"/>
          <w:szCs w:val="21"/>
        </w:rPr>
      </w:pPr>
      <w:bookmarkStart w:id="3" w:name="_Toc988892"/>
      <w:r>
        <w:rPr>
          <w:rFonts w:hint="default" w:ascii="Times New Roman" w:hAnsi="Times New Roman" w:eastAsia="宋体" w:cs="Times New Roman"/>
          <w:b/>
          <w:bCs/>
          <w:sz w:val="21"/>
          <w:szCs w:val="21"/>
        </w:rPr>
        <w:t>2、主要会计数据和财务指标</w:t>
      </w:r>
      <w:bookmarkEnd w:id="3"/>
    </w:p>
    <w:p w14:paraId="28C74197">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default" w:asciiTheme="minorEastAsia" w:hAnsiTheme="minorEastAsia" w:eastAsiaTheme="minorEastAsia" w:cstheme="minorEastAsia"/>
          <w:sz w:val="21"/>
          <w:szCs w:val="21"/>
        </w:rPr>
      </w:pPr>
      <w:r>
        <w:rPr>
          <w:rFonts w:hint="default" w:asciiTheme="minorEastAsia" w:hAnsiTheme="minorEastAsia" w:eastAsiaTheme="minorEastAsia" w:cstheme="minorEastAsia"/>
          <w:sz w:val="21"/>
          <w:szCs w:val="21"/>
        </w:rPr>
        <w:t>公司是否需追溯调整或重述以前年度会计数据</w:t>
      </w:r>
    </w:p>
    <w:p w14:paraId="6C4E0700">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default" w:asciiTheme="minorEastAsia" w:hAnsiTheme="minorEastAsia" w:eastAsiaTheme="minorEastAsia" w:cstheme="minorEastAsia"/>
          <w:sz w:val="21"/>
          <w:szCs w:val="21"/>
        </w:rPr>
      </w:pPr>
      <w:r>
        <w:rPr>
          <w:rFonts w:hint="default" w:asciiTheme="minorEastAsia" w:hAnsiTheme="minorEastAsia" w:eastAsiaTheme="minorEastAsia" w:cstheme="minorEastAsia"/>
          <w:sz w:val="21"/>
          <w:szCs w:val="21"/>
        </w:rPr>
        <w:t xml:space="preserve">□是 </w:t>
      </w:r>
      <w:r>
        <w:rPr>
          <w:rFonts w:hint="default" w:asciiTheme="minorEastAsia" w:hAnsiTheme="minorEastAsia" w:eastAsiaTheme="minorEastAsia" w:cstheme="minorEastAsia"/>
          <w:sz w:val="21"/>
          <w:szCs w:val="21"/>
        </w:rPr>
        <w:sym w:font="Wingdings 2" w:char="F052"/>
      </w:r>
      <w:r>
        <w:rPr>
          <w:rFonts w:hint="default" w:asciiTheme="minorEastAsia" w:hAnsiTheme="minorEastAsia" w:eastAsiaTheme="minorEastAsia" w:cstheme="minorEastAsia"/>
          <w:sz w:val="21"/>
          <w:szCs w:val="21"/>
        </w:rPr>
        <w:t>否</w:t>
      </w:r>
    </w:p>
    <w:tbl>
      <w:tblPr>
        <w:tblStyle w:val="7"/>
        <w:tblW w:w="9639" w:type="dxa"/>
        <w:jc w:val="center"/>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3856"/>
        <w:gridCol w:w="1928"/>
        <w:gridCol w:w="1928"/>
        <w:gridCol w:w="1928"/>
      </w:tblGrid>
      <w:tr w14:paraId="59AC4A5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jc w:val="center"/>
        </w:trPr>
        <w:tc>
          <w:tcPr>
            <w:tcW w:w="3856" w:type="dxa"/>
            <w:tcBorders>
              <w:top w:val="single" w:color="auto" w:sz="2" w:space="0"/>
              <w:left w:val="single" w:color="auto" w:sz="2" w:space="0"/>
              <w:bottom w:val="single" w:color="auto" w:sz="2" w:space="0"/>
              <w:right w:val="single" w:color="auto" w:sz="2" w:space="0"/>
            </w:tcBorders>
            <w:shd w:val="clear" w:color="auto" w:fill="D3D3D3"/>
            <w:vAlign w:val="center"/>
          </w:tcPr>
          <w:p w14:paraId="0360B77E">
            <w:pPr>
              <w:rPr>
                <w:rFonts w:hint="default" w:ascii="Times New Roman" w:hAnsi="Times New Roman" w:cs="Times New Roman"/>
              </w:rPr>
            </w:pPr>
          </w:p>
        </w:tc>
        <w:tc>
          <w:tcPr>
            <w:tcW w:w="1928" w:type="dxa"/>
            <w:tcBorders>
              <w:top w:val="single" w:color="auto" w:sz="2" w:space="0"/>
              <w:left w:val="single" w:color="auto" w:sz="2" w:space="0"/>
              <w:bottom w:val="single" w:color="auto" w:sz="2" w:space="0"/>
              <w:right w:val="single" w:color="auto" w:sz="2" w:space="0"/>
            </w:tcBorders>
            <w:shd w:val="clear" w:color="auto" w:fill="D3D3D3"/>
            <w:vAlign w:val="center"/>
          </w:tcPr>
          <w:p w14:paraId="00AA2493">
            <w:pPr>
              <w:spacing w:before="40" w:after="40" w:line="240" w:lineRule="exact"/>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本报告期</w:t>
            </w:r>
          </w:p>
        </w:tc>
        <w:tc>
          <w:tcPr>
            <w:tcW w:w="1928" w:type="dxa"/>
            <w:tcBorders>
              <w:top w:val="single" w:color="auto" w:sz="2" w:space="0"/>
              <w:left w:val="single" w:color="auto" w:sz="2" w:space="0"/>
              <w:bottom w:val="single" w:color="auto" w:sz="2" w:space="0"/>
              <w:right w:val="single" w:color="auto" w:sz="2" w:space="0"/>
            </w:tcBorders>
            <w:shd w:val="clear" w:color="auto" w:fill="D3D3D3"/>
            <w:vAlign w:val="center"/>
          </w:tcPr>
          <w:p w14:paraId="6F3CF568">
            <w:pPr>
              <w:spacing w:before="40" w:after="40" w:line="240" w:lineRule="exact"/>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上年同期</w:t>
            </w:r>
          </w:p>
        </w:tc>
        <w:tc>
          <w:tcPr>
            <w:tcW w:w="1928" w:type="dxa"/>
            <w:tcBorders>
              <w:top w:val="single" w:color="auto" w:sz="2" w:space="0"/>
              <w:left w:val="single" w:color="auto" w:sz="2" w:space="0"/>
              <w:bottom w:val="single" w:color="auto" w:sz="2" w:space="0"/>
              <w:right w:val="single" w:color="auto" w:sz="2" w:space="0"/>
            </w:tcBorders>
            <w:shd w:val="clear" w:color="auto" w:fill="D3D3D3"/>
            <w:vAlign w:val="center"/>
          </w:tcPr>
          <w:p w14:paraId="0F67A22C">
            <w:pPr>
              <w:spacing w:before="40" w:after="40" w:line="240" w:lineRule="exact"/>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本报告期比上年同期增减</w:t>
            </w:r>
          </w:p>
        </w:tc>
      </w:tr>
      <w:tr w14:paraId="420077E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jc w:val="center"/>
        </w:trPr>
        <w:tc>
          <w:tcPr>
            <w:tcW w:w="3856" w:type="dxa"/>
            <w:tcBorders>
              <w:top w:val="single" w:color="auto" w:sz="2" w:space="0"/>
              <w:left w:val="single" w:color="auto" w:sz="2" w:space="0"/>
              <w:bottom w:val="single" w:color="auto" w:sz="2" w:space="0"/>
              <w:right w:val="single" w:color="auto" w:sz="2" w:space="0"/>
            </w:tcBorders>
            <w:shd w:val="clear" w:color="auto" w:fill="D3D3D3"/>
            <w:vAlign w:val="center"/>
          </w:tcPr>
          <w:p w14:paraId="34443DF0">
            <w:pPr>
              <w:spacing w:before="40" w:after="40" w:line="240" w:lineRule="exact"/>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营业收入（元）</w:t>
            </w:r>
          </w:p>
        </w:tc>
        <w:tc>
          <w:tcPr>
            <w:tcW w:w="1928" w:type="dxa"/>
            <w:tcBorders>
              <w:top w:val="single" w:color="auto" w:sz="2" w:space="0"/>
              <w:left w:val="single" w:color="auto" w:sz="2" w:space="0"/>
              <w:bottom w:val="single" w:color="auto" w:sz="2" w:space="0"/>
              <w:right w:val="single" w:color="auto" w:sz="2" w:space="0"/>
            </w:tcBorders>
            <w:vAlign w:val="center"/>
          </w:tcPr>
          <w:p w14:paraId="76960AEA">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6,858,920,549.61</w:t>
            </w:r>
          </w:p>
        </w:tc>
        <w:tc>
          <w:tcPr>
            <w:tcW w:w="1928" w:type="dxa"/>
            <w:tcBorders>
              <w:top w:val="single" w:color="auto" w:sz="2" w:space="0"/>
              <w:left w:val="single" w:color="auto" w:sz="2" w:space="0"/>
              <w:bottom w:val="single" w:color="auto" w:sz="2" w:space="0"/>
              <w:right w:val="single" w:color="auto" w:sz="2" w:space="0"/>
            </w:tcBorders>
            <w:vAlign w:val="center"/>
          </w:tcPr>
          <w:p w14:paraId="477D0904">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6,614,487,658.20</w:t>
            </w:r>
          </w:p>
        </w:tc>
        <w:tc>
          <w:tcPr>
            <w:tcW w:w="1928" w:type="dxa"/>
            <w:tcBorders>
              <w:top w:val="single" w:color="auto" w:sz="2" w:space="0"/>
              <w:left w:val="single" w:color="auto" w:sz="2" w:space="0"/>
              <w:bottom w:val="single" w:color="auto" w:sz="2" w:space="0"/>
              <w:right w:val="single" w:color="auto" w:sz="2" w:space="0"/>
            </w:tcBorders>
            <w:vAlign w:val="center"/>
          </w:tcPr>
          <w:p w14:paraId="6714EB02">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3.70%</w:t>
            </w:r>
          </w:p>
        </w:tc>
      </w:tr>
      <w:tr w14:paraId="31995A0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jc w:val="center"/>
        </w:trPr>
        <w:tc>
          <w:tcPr>
            <w:tcW w:w="3856" w:type="dxa"/>
            <w:tcBorders>
              <w:top w:val="single" w:color="auto" w:sz="2" w:space="0"/>
              <w:left w:val="single" w:color="auto" w:sz="2" w:space="0"/>
              <w:bottom w:val="single" w:color="auto" w:sz="2" w:space="0"/>
              <w:right w:val="single" w:color="auto" w:sz="2" w:space="0"/>
            </w:tcBorders>
            <w:shd w:val="clear" w:color="auto" w:fill="D3D3D3"/>
            <w:vAlign w:val="center"/>
          </w:tcPr>
          <w:p w14:paraId="47B9177C">
            <w:pPr>
              <w:spacing w:before="40" w:after="40" w:line="240" w:lineRule="exact"/>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归属于上市公司股东的净利润（元）</w:t>
            </w:r>
          </w:p>
        </w:tc>
        <w:tc>
          <w:tcPr>
            <w:tcW w:w="1928" w:type="dxa"/>
            <w:tcBorders>
              <w:top w:val="single" w:color="auto" w:sz="2" w:space="0"/>
              <w:left w:val="single" w:color="auto" w:sz="2" w:space="0"/>
              <w:bottom w:val="single" w:color="auto" w:sz="2" w:space="0"/>
              <w:right w:val="single" w:color="auto" w:sz="2" w:space="0"/>
            </w:tcBorders>
            <w:vAlign w:val="center"/>
          </w:tcPr>
          <w:p w14:paraId="3164F877">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172,944,169.45</w:t>
            </w:r>
          </w:p>
        </w:tc>
        <w:tc>
          <w:tcPr>
            <w:tcW w:w="1928" w:type="dxa"/>
            <w:tcBorders>
              <w:top w:val="single" w:color="auto" w:sz="2" w:space="0"/>
              <w:left w:val="single" w:color="auto" w:sz="2" w:space="0"/>
              <w:bottom w:val="single" w:color="auto" w:sz="2" w:space="0"/>
              <w:right w:val="single" w:color="auto" w:sz="2" w:space="0"/>
            </w:tcBorders>
            <w:vAlign w:val="center"/>
          </w:tcPr>
          <w:p w14:paraId="4094A2B5">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94,822,076.33</w:t>
            </w:r>
          </w:p>
        </w:tc>
        <w:tc>
          <w:tcPr>
            <w:tcW w:w="1928" w:type="dxa"/>
            <w:tcBorders>
              <w:top w:val="single" w:color="auto" w:sz="2" w:space="0"/>
              <w:left w:val="single" w:color="auto" w:sz="2" w:space="0"/>
              <w:bottom w:val="single" w:color="auto" w:sz="2" w:space="0"/>
              <w:right w:val="single" w:color="auto" w:sz="2" w:space="0"/>
            </w:tcBorders>
            <w:vAlign w:val="center"/>
          </w:tcPr>
          <w:p w14:paraId="3B4BE594">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82.39%</w:t>
            </w:r>
          </w:p>
        </w:tc>
      </w:tr>
      <w:tr w14:paraId="21BF230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jc w:val="center"/>
        </w:trPr>
        <w:tc>
          <w:tcPr>
            <w:tcW w:w="3856" w:type="dxa"/>
            <w:tcBorders>
              <w:top w:val="single" w:color="auto" w:sz="2" w:space="0"/>
              <w:left w:val="single" w:color="auto" w:sz="2" w:space="0"/>
              <w:bottom w:val="single" w:color="auto" w:sz="2" w:space="0"/>
              <w:right w:val="single" w:color="auto" w:sz="2" w:space="0"/>
            </w:tcBorders>
            <w:shd w:val="clear" w:color="auto" w:fill="D3D3D3"/>
            <w:vAlign w:val="center"/>
          </w:tcPr>
          <w:p w14:paraId="4219931F">
            <w:pPr>
              <w:spacing w:before="40" w:after="40" w:line="240" w:lineRule="exact"/>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归属于上市公司股东的扣除非经常性损益的净利润（元）</w:t>
            </w:r>
          </w:p>
        </w:tc>
        <w:tc>
          <w:tcPr>
            <w:tcW w:w="1928" w:type="dxa"/>
            <w:tcBorders>
              <w:top w:val="single" w:color="auto" w:sz="2" w:space="0"/>
              <w:left w:val="single" w:color="auto" w:sz="2" w:space="0"/>
              <w:bottom w:val="single" w:color="auto" w:sz="2" w:space="0"/>
              <w:right w:val="single" w:color="auto" w:sz="2" w:space="0"/>
            </w:tcBorders>
            <w:vAlign w:val="center"/>
          </w:tcPr>
          <w:p w14:paraId="50E43AFE">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162,413,933.22</w:t>
            </w:r>
          </w:p>
        </w:tc>
        <w:tc>
          <w:tcPr>
            <w:tcW w:w="1928" w:type="dxa"/>
            <w:tcBorders>
              <w:top w:val="single" w:color="auto" w:sz="2" w:space="0"/>
              <w:left w:val="single" w:color="auto" w:sz="2" w:space="0"/>
              <w:bottom w:val="single" w:color="auto" w:sz="2" w:space="0"/>
              <w:right w:val="single" w:color="auto" w:sz="2" w:space="0"/>
            </w:tcBorders>
            <w:vAlign w:val="center"/>
          </w:tcPr>
          <w:p w14:paraId="4F53D1E0">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72,700,215.94</w:t>
            </w:r>
          </w:p>
        </w:tc>
        <w:tc>
          <w:tcPr>
            <w:tcW w:w="1928" w:type="dxa"/>
            <w:tcBorders>
              <w:top w:val="single" w:color="auto" w:sz="2" w:space="0"/>
              <w:left w:val="single" w:color="auto" w:sz="2" w:space="0"/>
              <w:bottom w:val="single" w:color="auto" w:sz="2" w:space="0"/>
              <w:right w:val="single" w:color="auto" w:sz="2" w:space="0"/>
            </w:tcBorders>
            <w:vAlign w:val="center"/>
          </w:tcPr>
          <w:p w14:paraId="18DF8E85">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123.40%</w:t>
            </w:r>
          </w:p>
        </w:tc>
      </w:tr>
      <w:tr w14:paraId="2EE2BA3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jc w:val="center"/>
        </w:trPr>
        <w:tc>
          <w:tcPr>
            <w:tcW w:w="3856" w:type="dxa"/>
            <w:tcBorders>
              <w:top w:val="single" w:color="auto" w:sz="2" w:space="0"/>
              <w:left w:val="single" w:color="auto" w:sz="2" w:space="0"/>
              <w:bottom w:val="single" w:color="auto" w:sz="2" w:space="0"/>
              <w:right w:val="single" w:color="auto" w:sz="2" w:space="0"/>
            </w:tcBorders>
            <w:shd w:val="clear" w:color="auto" w:fill="D3D3D3"/>
            <w:vAlign w:val="center"/>
          </w:tcPr>
          <w:p w14:paraId="7429939B">
            <w:pPr>
              <w:spacing w:before="40" w:after="40" w:line="240" w:lineRule="exact"/>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经营活动产生的现金流量净额（元）</w:t>
            </w:r>
          </w:p>
        </w:tc>
        <w:tc>
          <w:tcPr>
            <w:tcW w:w="1928" w:type="dxa"/>
            <w:tcBorders>
              <w:top w:val="single" w:color="auto" w:sz="2" w:space="0"/>
              <w:left w:val="single" w:color="auto" w:sz="2" w:space="0"/>
              <w:bottom w:val="single" w:color="auto" w:sz="2" w:space="0"/>
              <w:right w:val="single" w:color="auto" w:sz="2" w:space="0"/>
            </w:tcBorders>
            <w:vAlign w:val="center"/>
          </w:tcPr>
          <w:p w14:paraId="1B60CFA6">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1,347,390,367.05</w:t>
            </w:r>
          </w:p>
        </w:tc>
        <w:tc>
          <w:tcPr>
            <w:tcW w:w="1928" w:type="dxa"/>
            <w:tcBorders>
              <w:top w:val="single" w:color="auto" w:sz="2" w:space="0"/>
              <w:left w:val="single" w:color="auto" w:sz="2" w:space="0"/>
              <w:bottom w:val="single" w:color="auto" w:sz="2" w:space="0"/>
              <w:right w:val="single" w:color="auto" w:sz="2" w:space="0"/>
            </w:tcBorders>
            <w:vAlign w:val="center"/>
          </w:tcPr>
          <w:p w14:paraId="468D712A">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1,671,739,919.76</w:t>
            </w:r>
          </w:p>
        </w:tc>
        <w:tc>
          <w:tcPr>
            <w:tcW w:w="1928" w:type="dxa"/>
            <w:tcBorders>
              <w:top w:val="single" w:color="auto" w:sz="2" w:space="0"/>
              <w:left w:val="single" w:color="auto" w:sz="2" w:space="0"/>
              <w:bottom w:val="single" w:color="auto" w:sz="2" w:space="0"/>
              <w:right w:val="single" w:color="auto" w:sz="2" w:space="0"/>
            </w:tcBorders>
            <w:vAlign w:val="center"/>
          </w:tcPr>
          <w:p w14:paraId="32D26F8C">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-19.40%</w:t>
            </w:r>
          </w:p>
        </w:tc>
      </w:tr>
      <w:tr w14:paraId="249EC41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jc w:val="center"/>
        </w:trPr>
        <w:tc>
          <w:tcPr>
            <w:tcW w:w="3856" w:type="dxa"/>
            <w:tcBorders>
              <w:top w:val="single" w:color="auto" w:sz="2" w:space="0"/>
              <w:left w:val="single" w:color="auto" w:sz="2" w:space="0"/>
              <w:bottom w:val="single" w:color="auto" w:sz="2" w:space="0"/>
              <w:right w:val="single" w:color="auto" w:sz="2" w:space="0"/>
            </w:tcBorders>
            <w:shd w:val="clear" w:color="auto" w:fill="D3D3D3"/>
            <w:vAlign w:val="center"/>
          </w:tcPr>
          <w:p w14:paraId="426E69BB">
            <w:pPr>
              <w:spacing w:before="40" w:after="40" w:line="240" w:lineRule="exact"/>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基本每股收益（元/股）</w:t>
            </w:r>
          </w:p>
        </w:tc>
        <w:tc>
          <w:tcPr>
            <w:tcW w:w="1928" w:type="dxa"/>
            <w:tcBorders>
              <w:top w:val="single" w:color="auto" w:sz="2" w:space="0"/>
              <w:left w:val="single" w:color="auto" w:sz="2" w:space="0"/>
              <w:bottom w:val="single" w:color="auto" w:sz="2" w:space="0"/>
              <w:right w:val="single" w:color="auto" w:sz="2" w:space="0"/>
            </w:tcBorders>
            <w:vAlign w:val="center"/>
          </w:tcPr>
          <w:p w14:paraId="7892DB6A">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0.0497</w:t>
            </w:r>
          </w:p>
        </w:tc>
        <w:tc>
          <w:tcPr>
            <w:tcW w:w="1928" w:type="dxa"/>
            <w:tcBorders>
              <w:top w:val="single" w:color="auto" w:sz="2" w:space="0"/>
              <w:left w:val="single" w:color="auto" w:sz="2" w:space="0"/>
              <w:bottom w:val="single" w:color="auto" w:sz="2" w:space="0"/>
              <w:right w:val="single" w:color="auto" w:sz="2" w:space="0"/>
            </w:tcBorders>
            <w:vAlign w:val="center"/>
          </w:tcPr>
          <w:p w14:paraId="2E50D3A5">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0.0272</w:t>
            </w:r>
          </w:p>
        </w:tc>
        <w:tc>
          <w:tcPr>
            <w:tcW w:w="1928" w:type="dxa"/>
            <w:tcBorders>
              <w:top w:val="single" w:color="auto" w:sz="2" w:space="0"/>
              <w:left w:val="single" w:color="auto" w:sz="2" w:space="0"/>
              <w:bottom w:val="single" w:color="auto" w:sz="2" w:space="0"/>
              <w:right w:val="single" w:color="auto" w:sz="2" w:space="0"/>
            </w:tcBorders>
            <w:vAlign w:val="center"/>
          </w:tcPr>
          <w:p w14:paraId="71A6FF72">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82.72%</w:t>
            </w:r>
          </w:p>
        </w:tc>
      </w:tr>
      <w:tr w14:paraId="4270AC3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jc w:val="center"/>
        </w:trPr>
        <w:tc>
          <w:tcPr>
            <w:tcW w:w="3856" w:type="dxa"/>
            <w:tcBorders>
              <w:top w:val="single" w:color="auto" w:sz="2" w:space="0"/>
              <w:left w:val="single" w:color="auto" w:sz="2" w:space="0"/>
              <w:bottom w:val="single" w:color="auto" w:sz="2" w:space="0"/>
              <w:right w:val="single" w:color="auto" w:sz="2" w:space="0"/>
            </w:tcBorders>
            <w:shd w:val="clear" w:color="auto" w:fill="D3D3D3"/>
            <w:vAlign w:val="center"/>
          </w:tcPr>
          <w:p w14:paraId="369665E9">
            <w:pPr>
              <w:spacing w:before="40" w:after="40" w:line="240" w:lineRule="exact"/>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稀释每股收益（元/股）</w:t>
            </w:r>
          </w:p>
        </w:tc>
        <w:tc>
          <w:tcPr>
            <w:tcW w:w="1928" w:type="dxa"/>
            <w:tcBorders>
              <w:top w:val="single" w:color="auto" w:sz="2" w:space="0"/>
              <w:left w:val="single" w:color="auto" w:sz="2" w:space="0"/>
              <w:bottom w:val="single" w:color="auto" w:sz="2" w:space="0"/>
              <w:right w:val="single" w:color="auto" w:sz="2" w:space="0"/>
            </w:tcBorders>
            <w:vAlign w:val="center"/>
          </w:tcPr>
          <w:p w14:paraId="18882C2B">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0.0497</w:t>
            </w:r>
          </w:p>
        </w:tc>
        <w:tc>
          <w:tcPr>
            <w:tcW w:w="1928" w:type="dxa"/>
            <w:tcBorders>
              <w:top w:val="single" w:color="auto" w:sz="2" w:space="0"/>
              <w:left w:val="single" w:color="auto" w:sz="2" w:space="0"/>
              <w:bottom w:val="single" w:color="auto" w:sz="2" w:space="0"/>
              <w:right w:val="single" w:color="auto" w:sz="2" w:space="0"/>
            </w:tcBorders>
            <w:vAlign w:val="center"/>
          </w:tcPr>
          <w:p w14:paraId="34FE3AA8">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0.0272</w:t>
            </w:r>
          </w:p>
        </w:tc>
        <w:tc>
          <w:tcPr>
            <w:tcW w:w="1928" w:type="dxa"/>
            <w:tcBorders>
              <w:top w:val="single" w:color="auto" w:sz="2" w:space="0"/>
              <w:left w:val="single" w:color="auto" w:sz="2" w:space="0"/>
              <w:bottom w:val="single" w:color="auto" w:sz="2" w:space="0"/>
              <w:right w:val="single" w:color="auto" w:sz="2" w:space="0"/>
            </w:tcBorders>
            <w:vAlign w:val="center"/>
          </w:tcPr>
          <w:p w14:paraId="13D5817A">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82.72%</w:t>
            </w:r>
          </w:p>
        </w:tc>
      </w:tr>
      <w:tr w14:paraId="0F4B01B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jc w:val="center"/>
        </w:trPr>
        <w:tc>
          <w:tcPr>
            <w:tcW w:w="3856" w:type="dxa"/>
            <w:tcBorders>
              <w:top w:val="single" w:color="auto" w:sz="2" w:space="0"/>
              <w:left w:val="single" w:color="auto" w:sz="2" w:space="0"/>
              <w:bottom w:val="single" w:color="auto" w:sz="2" w:space="0"/>
              <w:right w:val="single" w:color="auto" w:sz="2" w:space="0"/>
            </w:tcBorders>
            <w:shd w:val="clear" w:color="auto" w:fill="D3D3D3"/>
            <w:vAlign w:val="center"/>
          </w:tcPr>
          <w:p w14:paraId="146D137C">
            <w:pPr>
              <w:spacing w:before="40" w:after="40" w:line="240" w:lineRule="exact"/>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加权平均净资产收益率</w:t>
            </w:r>
          </w:p>
        </w:tc>
        <w:tc>
          <w:tcPr>
            <w:tcW w:w="1928" w:type="dxa"/>
            <w:tcBorders>
              <w:top w:val="single" w:color="auto" w:sz="2" w:space="0"/>
              <w:left w:val="single" w:color="auto" w:sz="2" w:space="0"/>
              <w:bottom w:val="single" w:color="auto" w:sz="2" w:space="0"/>
              <w:right w:val="single" w:color="auto" w:sz="2" w:space="0"/>
            </w:tcBorders>
            <w:vAlign w:val="center"/>
          </w:tcPr>
          <w:p w14:paraId="611E166C">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1.29%</w:t>
            </w:r>
          </w:p>
        </w:tc>
        <w:tc>
          <w:tcPr>
            <w:tcW w:w="1928" w:type="dxa"/>
            <w:tcBorders>
              <w:top w:val="single" w:color="auto" w:sz="2" w:space="0"/>
              <w:left w:val="single" w:color="auto" w:sz="2" w:space="0"/>
              <w:bottom w:val="single" w:color="auto" w:sz="2" w:space="0"/>
              <w:right w:val="single" w:color="auto" w:sz="2" w:space="0"/>
            </w:tcBorders>
            <w:vAlign w:val="center"/>
          </w:tcPr>
          <w:p w14:paraId="1440B1A2">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0.69%</w:t>
            </w:r>
          </w:p>
        </w:tc>
        <w:tc>
          <w:tcPr>
            <w:tcW w:w="1928" w:type="dxa"/>
            <w:tcBorders>
              <w:top w:val="single" w:color="auto" w:sz="2" w:space="0"/>
              <w:left w:val="single" w:color="auto" w:sz="2" w:space="0"/>
              <w:bottom w:val="single" w:color="auto" w:sz="2" w:space="0"/>
              <w:right w:val="single" w:color="auto" w:sz="2" w:space="0"/>
            </w:tcBorders>
            <w:vAlign w:val="center"/>
          </w:tcPr>
          <w:p w14:paraId="074BFD1F">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0.60%</w:t>
            </w:r>
          </w:p>
        </w:tc>
      </w:tr>
      <w:tr w14:paraId="519DB0D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jc w:val="center"/>
        </w:trPr>
        <w:tc>
          <w:tcPr>
            <w:tcW w:w="3856" w:type="dxa"/>
            <w:tcBorders>
              <w:top w:val="single" w:color="auto" w:sz="2" w:space="0"/>
              <w:left w:val="single" w:color="auto" w:sz="2" w:space="0"/>
              <w:bottom w:val="single" w:color="auto" w:sz="2" w:space="0"/>
              <w:right w:val="single" w:color="auto" w:sz="2" w:space="0"/>
            </w:tcBorders>
            <w:shd w:val="clear" w:color="auto" w:fill="D3D3D3"/>
            <w:vAlign w:val="center"/>
          </w:tcPr>
          <w:p w14:paraId="5E3D8E0F">
            <w:pPr>
              <w:rPr>
                <w:rFonts w:hint="default" w:ascii="Times New Roman" w:hAnsi="Times New Roman" w:cs="Times New Roman"/>
              </w:rPr>
            </w:pPr>
          </w:p>
        </w:tc>
        <w:tc>
          <w:tcPr>
            <w:tcW w:w="1928" w:type="dxa"/>
            <w:tcBorders>
              <w:top w:val="single" w:color="auto" w:sz="2" w:space="0"/>
              <w:left w:val="single" w:color="auto" w:sz="2" w:space="0"/>
              <w:bottom w:val="single" w:color="auto" w:sz="2" w:space="0"/>
              <w:right w:val="single" w:color="auto" w:sz="2" w:space="0"/>
            </w:tcBorders>
            <w:shd w:val="clear" w:color="auto" w:fill="D3D3D3"/>
            <w:vAlign w:val="center"/>
          </w:tcPr>
          <w:p w14:paraId="015CA0B8">
            <w:pPr>
              <w:spacing w:before="40" w:after="40" w:line="240" w:lineRule="exact"/>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本报告期末</w:t>
            </w:r>
          </w:p>
        </w:tc>
        <w:tc>
          <w:tcPr>
            <w:tcW w:w="1928" w:type="dxa"/>
            <w:tcBorders>
              <w:top w:val="single" w:color="auto" w:sz="2" w:space="0"/>
              <w:left w:val="single" w:color="auto" w:sz="2" w:space="0"/>
              <w:bottom w:val="single" w:color="auto" w:sz="2" w:space="0"/>
              <w:right w:val="single" w:color="auto" w:sz="2" w:space="0"/>
            </w:tcBorders>
            <w:shd w:val="clear" w:color="auto" w:fill="D3D3D3"/>
            <w:vAlign w:val="center"/>
          </w:tcPr>
          <w:p w14:paraId="75E90915">
            <w:pPr>
              <w:spacing w:before="40" w:after="40" w:line="240" w:lineRule="exact"/>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上年度末</w:t>
            </w:r>
          </w:p>
        </w:tc>
        <w:tc>
          <w:tcPr>
            <w:tcW w:w="1928" w:type="dxa"/>
            <w:tcBorders>
              <w:top w:val="single" w:color="auto" w:sz="2" w:space="0"/>
              <w:left w:val="single" w:color="auto" w:sz="2" w:space="0"/>
              <w:bottom w:val="single" w:color="auto" w:sz="2" w:space="0"/>
              <w:right w:val="single" w:color="auto" w:sz="2" w:space="0"/>
            </w:tcBorders>
            <w:shd w:val="clear" w:color="auto" w:fill="D3D3D3"/>
            <w:vAlign w:val="center"/>
          </w:tcPr>
          <w:p w14:paraId="06A31BD5">
            <w:pPr>
              <w:spacing w:before="40" w:after="40" w:line="240" w:lineRule="exact"/>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本报告期末比上年度末增减</w:t>
            </w:r>
          </w:p>
        </w:tc>
      </w:tr>
      <w:tr w14:paraId="0590C3B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jc w:val="center"/>
        </w:trPr>
        <w:tc>
          <w:tcPr>
            <w:tcW w:w="3856" w:type="dxa"/>
            <w:tcBorders>
              <w:top w:val="single" w:color="auto" w:sz="2" w:space="0"/>
              <w:left w:val="single" w:color="auto" w:sz="2" w:space="0"/>
              <w:bottom w:val="single" w:color="auto" w:sz="2" w:space="0"/>
              <w:right w:val="single" w:color="auto" w:sz="2" w:space="0"/>
            </w:tcBorders>
            <w:shd w:val="clear" w:color="auto" w:fill="D3D3D3"/>
            <w:vAlign w:val="center"/>
          </w:tcPr>
          <w:p w14:paraId="79027231">
            <w:pPr>
              <w:spacing w:before="40" w:after="40" w:line="240" w:lineRule="exact"/>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总资产（元）</w:t>
            </w:r>
          </w:p>
        </w:tc>
        <w:tc>
          <w:tcPr>
            <w:tcW w:w="1928" w:type="dxa"/>
            <w:tcBorders>
              <w:top w:val="single" w:color="auto" w:sz="2" w:space="0"/>
              <w:left w:val="single" w:color="auto" w:sz="2" w:space="0"/>
              <w:bottom w:val="single" w:color="auto" w:sz="2" w:space="0"/>
              <w:right w:val="single" w:color="auto" w:sz="2" w:space="0"/>
            </w:tcBorders>
            <w:vAlign w:val="center"/>
          </w:tcPr>
          <w:p w14:paraId="76912771">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40,602,253,583.69</w:t>
            </w:r>
          </w:p>
        </w:tc>
        <w:tc>
          <w:tcPr>
            <w:tcW w:w="1928" w:type="dxa"/>
            <w:tcBorders>
              <w:top w:val="single" w:color="auto" w:sz="2" w:space="0"/>
              <w:left w:val="single" w:color="auto" w:sz="2" w:space="0"/>
              <w:bottom w:val="single" w:color="auto" w:sz="2" w:space="0"/>
              <w:right w:val="single" w:color="auto" w:sz="2" w:space="0"/>
            </w:tcBorders>
            <w:vAlign w:val="center"/>
          </w:tcPr>
          <w:p w14:paraId="5101BFD7">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41,186,209,307.17</w:t>
            </w:r>
          </w:p>
        </w:tc>
        <w:tc>
          <w:tcPr>
            <w:tcW w:w="1928" w:type="dxa"/>
            <w:tcBorders>
              <w:top w:val="single" w:color="auto" w:sz="2" w:space="0"/>
              <w:left w:val="single" w:color="auto" w:sz="2" w:space="0"/>
              <w:bottom w:val="single" w:color="auto" w:sz="2" w:space="0"/>
              <w:right w:val="single" w:color="auto" w:sz="2" w:space="0"/>
            </w:tcBorders>
            <w:vAlign w:val="center"/>
          </w:tcPr>
          <w:p w14:paraId="2137FC67">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-1.42%</w:t>
            </w:r>
          </w:p>
        </w:tc>
      </w:tr>
      <w:tr w14:paraId="03E9243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jc w:val="center"/>
        </w:trPr>
        <w:tc>
          <w:tcPr>
            <w:tcW w:w="3856" w:type="dxa"/>
            <w:tcBorders>
              <w:top w:val="single" w:color="auto" w:sz="2" w:space="0"/>
              <w:left w:val="single" w:color="auto" w:sz="2" w:space="0"/>
              <w:bottom w:val="single" w:color="auto" w:sz="2" w:space="0"/>
              <w:right w:val="single" w:color="auto" w:sz="2" w:space="0"/>
            </w:tcBorders>
            <w:shd w:val="clear" w:color="auto" w:fill="D3D3D3"/>
            <w:vAlign w:val="center"/>
          </w:tcPr>
          <w:p w14:paraId="4AEB3E89">
            <w:pPr>
              <w:spacing w:before="40" w:after="40" w:line="240" w:lineRule="exact"/>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归属于上市公司股东的净资产（元）</w:t>
            </w:r>
          </w:p>
        </w:tc>
        <w:tc>
          <w:tcPr>
            <w:tcW w:w="1928" w:type="dxa"/>
            <w:tcBorders>
              <w:top w:val="single" w:color="auto" w:sz="2" w:space="0"/>
              <w:left w:val="single" w:color="auto" w:sz="2" w:space="0"/>
              <w:bottom w:val="single" w:color="auto" w:sz="2" w:space="0"/>
              <w:right w:val="single" w:color="auto" w:sz="2" w:space="0"/>
            </w:tcBorders>
            <w:vAlign w:val="center"/>
          </w:tcPr>
          <w:p w14:paraId="55CD14BD">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13,542,831,479.47</w:t>
            </w:r>
          </w:p>
        </w:tc>
        <w:tc>
          <w:tcPr>
            <w:tcW w:w="1928" w:type="dxa"/>
            <w:tcBorders>
              <w:top w:val="single" w:color="auto" w:sz="2" w:space="0"/>
              <w:left w:val="single" w:color="auto" w:sz="2" w:space="0"/>
              <w:bottom w:val="single" w:color="auto" w:sz="2" w:space="0"/>
              <w:right w:val="single" w:color="auto" w:sz="2" w:space="0"/>
            </w:tcBorders>
            <w:vAlign w:val="center"/>
          </w:tcPr>
          <w:p w14:paraId="1D65C686">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13,320,801,398.81</w:t>
            </w:r>
          </w:p>
        </w:tc>
        <w:tc>
          <w:tcPr>
            <w:tcW w:w="1928" w:type="dxa"/>
            <w:tcBorders>
              <w:top w:val="single" w:color="auto" w:sz="2" w:space="0"/>
              <w:left w:val="single" w:color="auto" w:sz="2" w:space="0"/>
              <w:bottom w:val="single" w:color="auto" w:sz="2" w:space="0"/>
              <w:right w:val="single" w:color="auto" w:sz="2" w:space="0"/>
            </w:tcBorders>
            <w:vAlign w:val="center"/>
          </w:tcPr>
          <w:p w14:paraId="7E58F6F5">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1.67%</w:t>
            </w:r>
          </w:p>
        </w:tc>
      </w:tr>
    </w:tbl>
    <w:p w14:paraId="1FE79A7B">
      <w:pPr>
        <w:pStyle w:val="3"/>
        <w:keepNext/>
        <w:keepLines/>
        <w:spacing w:before="300" w:after="300" w:line="280" w:lineRule="exact"/>
        <w:jc w:val="left"/>
        <w:outlineLvl w:val="2"/>
        <w:rPr>
          <w:rFonts w:hint="default" w:ascii="Times New Roman" w:hAnsi="Times New Roman" w:eastAsia="宋体" w:cs="Times New Roman"/>
          <w:b/>
          <w:bCs/>
          <w:sz w:val="21"/>
          <w:szCs w:val="21"/>
        </w:rPr>
      </w:pPr>
      <w:bookmarkStart w:id="4" w:name="_Toc988893"/>
      <w:r>
        <w:rPr>
          <w:rFonts w:hint="default" w:ascii="Times New Roman" w:hAnsi="Times New Roman" w:eastAsia="宋体" w:cs="Times New Roman"/>
          <w:b/>
          <w:bCs/>
          <w:sz w:val="21"/>
          <w:szCs w:val="21"/>
        </w:rPr>
        <w:t>3、公司股东数量及持股情况</w:t>
      </w:r>
      <w:bookmarkEnd w:id="4"/>
    </w:p>
    <w:p w14:paraId="05E3DABC">
      <w:pPr>
        <w:spacing w:before="120" w:after="12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单位：股</w:t>
      </w:r>
    </w:p>
    <w:tbl>
      <w:tblPr>
        <w:tblStyle w:val="7"/>
        <w:tblW w:w="9639" w:type="dxa"/>
        <w:jc w:val="center"/>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1442"/>
        <w:gridCol w:w="1236"/>
        <w:gridCol w:w="1008"/>
        <w:gridCol w:w="598"/>
        <w:gridCol w:w="1071"/>
        <w:gridCol w:w="2142"/>
        <w:gridCol w:w="1071"/>
        <w:gridCol w:w="1071"/>
      </w:tblGrid>
      <w:tr w14:paraId="4F6E064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jc w:val="center"/>
        </w:trPr>
        <w:tc>
          <w:tcPr>
            <w:tcW w:w="2678" w:type="dxa"/>
            <w:gridSpan w:val="2"/>
            <w:tcBorders>
              <w:top w:val="single" w:color="auto" w:sz="2" w:space="0"/>
              <w:left w:val="single" w:color="auto" w:sz="2" w:space="0"/>
              <w:bottom w:val="single" w:color="auto" w:sz="2" w:space="0"/>
              <w:right w:val="single" w:color="auto" w:sz="2" w:space="0"/>
            </w:tcBorders>
            <w:shd w:val="clear" w:color="auto" w:fill="D3D3D3"/>
            <w:vAlign w:val="center"/>
          </w:tcPr>
          <w:p w14:paraId="5BA97E86">
            <w:pPr>
              <w:spacing w:before="40" w:after="40" w:line="240" w:lineRule="exact"/>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报告期末普通股股东总数</w:t>
            </w:r>
          </w:p>
        </w:tc>
        <w:tc>
          <w:tcPr>
            <w:tcW w:w="1606" w:type="dxa"/>
            <w:gridSpan w:val="2"/>
            <w:tcBorders>
              <w:top w:val="single" w:color="auto" w:sz="2" w:space="0"/>
              <w:left w:val="single" w:color="auto" w:sz="2" w:space="0"/>
              <w:bottom w:val="single" w:color="auto" w:sz="2" w:space="0"/>
              <w:right w:val="single" w:color="auto" w:sz="2" w:space="0"/>
            </w:tcBorders>
            <w:vAlign w:val="center"/>
          </w:tcPr>
          <w:p w14:paraId="576103D6">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116,412</w:t>
            </w:r>
          </w:p>
        </w:tc>
        <w:tc>
          <w:tcPr>
            <w:tcW w:w="3213" w:type="dxa"/>
            <w:gridSpan w:val="2"/>
            <w:tcBorders>
              <w:top w:val="single" w:color="auto" w:sz="2" w:space="0"/>
              <w:left w:val="single" w:color="auto" w:sz="2" w:space="0"/>
              <w:bottom w:val="single" w:color="auto" w:sz="2" w:space="0"/>
              <w:right w:val="single" w:color="auto" w:sz="2" w:space="0"/>
            </w:tcBorders>
            <w:shd w:val="clear" w:color="auto" w:fill="D3D3D3"/>
            <w:vAlign w:val="center"/>
          </w:tcPr>
          <w:p w14:paraId="13125DE5">
            <w:pPr>
              <w:spacing w:before="40" w:after="40" w:line="240" w:lineRule="exact"/>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报告期末表决权恢复的优先股股东总数（如有）</w:t>
            </w:r>
          </w:p>
        </w:tc>
        <w:tc>
          <w:tcPr>
            <w:tcW w:w="2142" w:type="dxa"/>
            <w:gridSpan w:val="2"/>
            <w:tcBorders>
              <w:top w:val="single" w:color="auto" w:sz="2" w:space="0"/>
              <w:left w:val="single" w:color="auto" w:sz="2" w:space="0"/>
              <w:bottom w:val="single" w:color="auto" w:sz="2" w:space="0"/>
              <w:right w:val="single" w:color="auto" w:sz="2" w:space="0"/>
            </w:tcBorders>
            <w:vAlign w:val="center"/>
          </w:tcPr>
          <w:p w14:paraId="65AF8807">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0</w:t>
            </w:r>
          </w:p>
        </w:tc>
      </w:tr>
      <w:tr w14:paraId="362E727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465" w:hRule="atLeast"/>
          <w:jc w:val="center"/>
        </w:trPr>
        <w:tc>
          <w:tcPr>
            <w:tcW w:w="9639" w:type="dxa"/>
            <w:gridSpan w:val="8"/>
            <w:tcBorders>
              <w:top w:val="single" w:color="auto" w:sz="2" w:space="0"/>
              <w:left w:val="single" w:color="auto" w:sz="2" w:space="0"/>
              <w:bottom w:val="single" w:color="auto" w:sz="2" w:space="0"/>
              <w:right w:val="single" w:color="auto" w:sz="2" w:space="0"/>
            </w:tcBorders>
            <w:shd w:val="clear" w:color="auto" w:fill="D3D3D3"/>
            <w:vAlign w:val="center"/>
          </w:tcPr>
          <w:p w14:paraId="1E72412C">
            <w:pPr>
              <w:spacing w:before="40" w:after="40" w:line="240" w:lineRule="exact"/>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前10名股东持股情况（不含通过转融通出借股份）</w:t>
            </w:r>
          </w:p>
        </w:tc>
      </w:tr>
      <w:tr w14:paraId="713C8F1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jc w:val="center"/>
        </w:trPr>
        <w:tc>
          <w:tcPr>
            <w:tcW w:w="1442" w:type="dxa"/>
            <w:vMerge w:val="restart"/>
            <w:tcBorders>
              <w:top w:val="single" w:color="auto" w:sz="2" w:space="0"/>
              <w:left w:val="single" w:color="auto" w:sz="2" w:space="0"/>
              <w:bottom w:val="single" w:color="auto" w:sz="2" w:space="0"/>
              <w:right w:val="single" w:color="auto" w:sz="2" w:space="0"/>
            </w:tcBorders>
            <w:shd w:val="clear" w:color="auto" w:fill="D3D3D3"/>
            <w:vAlign w:val="center"/>
          </w:tcPr>
          <w:p w14:paraId="611F4327">
            <w:pPr>
              <w:spacing w:before="40" w:after="40" w:line="240" w:lineRule="exact"/>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股东名称</w:t>
            </w:r>
          </w:p>
        </w:tc>
        <w:tc>
          <w:tcPr>
            <w:tcW w:w="1236" w:type="dxa"/>
            <w:vMerge w:val="restart"/>
            <w:tcBorders>
              <w:top w:val="single" w:color="auto" w:sz="2" w:space="0"/>
              <w:left w:val="single" w:color="auto" w:sz="2" w:space="0"/>
              <w:bottom w:val="single" w:color="auto" w:sz="2" w:space="0"/>
              <w:right w:val="single" w:color="auto" w:sz="2" w:space="0"/>
            </w:tcBorders>
            <w:shd w:val="clear" w:color="auto" w:fill="D3D3D3"/>
            <w:vAlign w:val="center"/>
          </w:tcPr>
          <w:p w14:paraId="0903D609">
            <w:pPr>
              <w:spacing w:before="40" w:after="40" w:line="240" w:lineRule="exact"/>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股东性质</w:t>
            </w:r>
          </w:p>
        </w:tc>
        <w:tc>
          <w:tcPr>
            <w:tcW w:w="1008" w:type="dxa"/>
            <w:vMerge w:val="restart"/>
            <w:tcBorders>
              <w:top w:val="single" w:color="auto" w:sz="2" w:space="0"/>
              <w:left w:val="single" w:color="auto" w:sz="2" w:space="0"/>
              <w:bottom w:val="single" w:color="auto" w:sz="2" w:space="0"/>
              <w:right w:val="single" w:color="auto" w:sz="2" w:space="0"/>
            </w:tcBorders>
            <w:shd w:val="clear" w:color="auto" w:fill="D3D3D3"/>
            <w:vAlign w:val="center"/>
          </w:tcPr>
          <w:p w14:paraId="3DD010F4">
            <w:pPr>
              <w:spacing w:before="40" w:after="40" w:line="240" w:lineRule="exact"/>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持股比例</w:t>
            </w:r>
          </w:p>
        </w:tc>
        <w:tc>
          <w:tcPr>
            <w:tcW w:w="1669" w:type="dxa"/>
            <w:gridSpan w:val="2"/>
            <w:vMerge w:val="restart"/>
            <w:tcBorders>
              <w:top w:val="single" w:color="auto" w:sz="2" w:space="0"/>
              <w:left w:val="single" w:color="auto" w:sz="2" w:space="0"/>
              <w:bottom w:val="single" w:color="auto" w:sz="2" w:space="0"/>
              <w:right w:val="single" w:color="auto" w:sz="2" w:space="0"/>
            </w:tcBorders>
            <w:shd w:val="clear" w:color="auto" w:fill="D3D3D3"/>
            <w:vAlign w:val="center"/>
          </w:tcPr>
          <w:p w14:paraId="43A0026F">
            <w:pPr>
              <w:spacing w:before="40" w:after="40" w:line="240" w:lineRule="exact"/>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持股数量</w:t>
            </w:r>
          </w:p>
        </w:tc>
        <w:tc>
          <w:tcPr>
            <w:tcW w:w="2142" w:type="dxa"/>
            <w:vMerge w:val="restart"/>
            <w:tcBorders>
              <w:top w:val="single" w:color="auto" w:sz="2" w:space="0"/>
              <w:left w:val="single" w:color="auto" w:sz="2" w:space="0"/>
              <w:bottom w:val="single" w:color="auto" w:sz="2" w:space="0"/>
              <w:right w:val="single" w:color="auto" w:sz="2" w:space="0"/>
            </w:tcBorders>
            <w:shd w:val="clear" w:color="auto" w:fill="D3D3D3"/>
            <w:vAlign w:val="center"/>
          </w:tcPr>
          <w:p w14:paraId="3DCC38F0">
            <w:pPr>
              <w:spacing w:before="40" w:after="40" w:line="240" w:lineRule="exact"/>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持有有限售条件的</w:t>
            </w:r>
          </w:p>
          <w:p w14:paraId="1DE74BB9">
            <w:pPr>
              <w:spacing w:before="40" w:after="40" w:line="240" w:lineRule="exact"/>
              <w:jc w:val="center"/>
              <w:rPr>
                <w:rFonts w:hint="default" w:ascii="Times New Roman" w:hAnsi="Times New Roman" w:eastAsia="宋体" w:cs="Times New Roman"/>
                <w:sz w:val="18"/>
                <w:szCs w:val="18"/>
              </w:rPr>
            </w:pPr>
            <w:bookmarkStart w:id="9" w:name="_GoBack"/>
            <w:bookmarkEnd w:id="9"/>
            <w:r>
              <w:rPr>
                <w:rFonts w:hint="default" w:ascii="Times New Roman" w:hAnsi="Times New Roman" w:eastAsia="宋体" w:cs="Times New Roman"/>
                <w:sz w:val="18"/>
                <w:szCs w:val="18"/>
              </w:rPr>
              <w:t>股份数量</w:t>
            </w:r>
          </w:p>
        </w:tc>
        <w:tc>
          <w:tcPr>
            <w:tcW w:w="2142" w:type="dxa"/>
            <w:gridSpan w:val="2"/>
            <w:tcBorders>
              <w:top w:val="single" w:color="auto" w:sz="2" w:space="0"/>
              <w:left w:val="single" w:color="auto" w:sz="2" w:space="0"/>
              <w:bottom w:val="single" w:color="auto" w:sz="2" w:space="0"/>
              <w:right w:val="single" w:color="auto" w:sz="2" w:space="0"/>
            </w:tcBorders>
            <w:shd w:val="clear" w:color="auto" w:fill="D3D3D3"/>
            <w:vAlign w:val="center"/>
          </w:tcPr>
          <w:p w14:paraId="3C6933C5">
            <w:pPr>
              <w:spacing w:before="40" w:after="40" w:line="240" w:lineRule="exact"/>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质押、标记或冻结情况</w:t>
            </w:r>
          </w:p>
        </w:tc>
      </w:tr>
      <w:tr w14:paraId="6DC65E2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jc w:val="center"/>
        </w:trPr>
        <w:tc>
          <w:tcPr>
            <w:tcW w:w="1442" w:type="dxa"/>
            <w:vMerge w:val="continue"/>
            <w:tcBorders>
              <w:top w:val="single" w:color="auto" w:sz="2" w:space="0"/>
              <w:left w:val="single" w:color="auto" w:sz="2" w:space="0"/>
              <w:bottom w:val="single" w:color="auto" w:sz="2" w:space="0"/>
              <w:right w:val="single" w:color="auto" w:sz="2" w:space="0"/>
            </w:tcBorders>
            <w:shd w:val="clear" w:color="auto" w:fill="D3D3D3"/>
            <w:vAlign w:val="center"/>
          </w:tcPr>
          <w:p w14:paraId="62726161">
            <w:pPr>
              <w:rPr>
                <w:rFonts w:hint="default" w:ascii="Times New Roman" w:hAnsi="Times New Roman" w:cs="Times New Roman"/>
              </w:rPr>
            </w:pPr>
          </w:p>
        </w:tc>
        <w:tc>
          <w:tcPr>
            <w:tcW w:w="1236" w:type="dxa"/>
            <w:vMerge w:val="continue"/>
            <w:tcBorders>
              <w:top w:val="single" w:color="auto" w:sz="2" w:space="0"/>
              <w:left w:val="single" w:color="auto" w:sz="2" w:space="0"/>
              <w:bottom w:val="single" w:color="auto" w:sz="2" w:space="0"/>
              <w:right w:val="single" w:color="auto" w:sz="2" w:space="0"/>
            </w:tcBorders>
            <w:shd w:val="clear" w:color="auto" w:fill="D3D3D3"/>
            <w:vAlign w:val="center"/>
          </w:tcPr>
          <w:p w14:paraId="117D32F1">
            <w:pPr>
              <w:rPr>
                <w:rFonts w:hint="default" w:ascii="Times New Roman" w:hAnsi="Times New Roman" w:cs="Times New Roman"/>
              </w:rPr>
            </w:pPr>
          </w:p>
        </w:tc>
        <w:tc>
          <w:tcPr>
            <w:tcW w:w="1008" w:type="dxa"/>
            <w:vMerge w:val="continue"/>
            <w:tcBorders>
              <w:top w:val="single" w:color="auto" w:sz="2" w:space="0"/>
              <w:left w:val="single" w:color="auto" w:sz="2" w:space="0"/>
              <w:bottom w:val="single" w:color="auto" w:sz="2" w:space="0"/>
              <w:right w:val="single" w:color="auto" w:sz="2" w:space="0"/>
            </w:tcBorders>
            <w:shd w:val="clear" w:color="auto" w:fill="D3D3D3"/>
            <w:vAlign w:val="center"/>
          </w:tcPr>
          <w:p w14:paraId="03ADEF56">
            <w:pPr>
              <w:rPr>
                <w:rFonts w:hint="default" w:ascii="Times New Roman" w:hAnsi="Times New Roman" w:cs="Times New Roman"/>
              </w:rPr>
            </w:pPr>
          </w:p>
        </w:tc>
        <w:tc>
          <w:tcPr>
            <w:tcW w:w="1669" w:type="dxa"/>
            <w:gridSpan w:val="2"/>
            <w:vMerge w:val="continue"/>
            <w:tcBorders>
              <w:top w:val="single" w:color="auto" w:sz="2" w:space="0"/>
              <w:left w:val="single" w:color="auto" w:sz="2" w:space="0"/>
              <w:bottom w:val="single" w:color="auto" w:sz="2" w:space="0"/>
              <w:right w:val="single" w:color="auto" w:sz="2" w:space="0"/>
            </w:tcBorders>
            <w:shd w:val="clear" w:color="auto" w:fill="D3D3D3"/>
            <w:vAlign w:val="center"/>
          </w:tcPr>
          <w:p w14:paraId="666E4914">
            <w:pPr>
              <w:rPr>
                <w:rFonts w:hint="default" w:ascii="Times New Roman" w:hAnsi="Times New Roman" w:cs="Times New Roman"/>
              </w:rPr>
            </w:pPr>
          </w:p>
        </w:tc>
        <w:tc>
          <w:tcPr>
            <w:tcW w:w="2142" w:type="dxa"/>
            <w:vMerge w:val="continue"/>
            <w:tcBorders>
              <w:top w:val="single" w:color="auto" w:sz="2" w:space="0"/>
              <w:left w:val="single" w:color="auto" w:sz="2" w:space="0"/>
              <w:bottom w:val="single" w:color="auto" w:sz="2" w:space="0"/>
              <w:right w:val="single" w:color="auto" w:sz="2" w:space="0"/>
            </w:tcBorders>
            <w:shd w:val="clear" w:color="auto" w:fill="D3D3D3"/>
            <w:vAlign w:val="center"/>
          </w:tcPr>
          <w:p w14:paraId="3E1021FE">
            <w:pPr>
              <w:rPr>
                <w:rFonts w:hint="default" w:ascii="Times New Roman" w:hAnsi="Times New Roman" w:cs="Times New Roman"/>
              </w:rPr>
            </w:pPr>
          </w:p>
        </w:tc>
        <w:tc>
          <w:tcPr>
            <w:tcW w:w="1071" w:type="dxa"/>
            <w:tcBorders>
              <w:top w:val="single" w:color="auto" w:sz="2" w:space="0"/>
              <w:left w:val="single" w:color="auto" w:sz="2" w:space="0"/>
              <w:bottom w:val="single" w:color="auto" w:sz="2" w:space="0"/>
              <w:right w:val="single" w:color="auto" w:sz="2" w:space="0"/>
            </w:tcBorders>
            <w:shd w:val="clear" w:color="auto" w:fill="D3D3D3"/>
            <w:vAlign w:val="center"/>
          </w:tcPr>
          <w:p w14:paraId="3C67125A">
            <w:pPr>
              <w:spacing w:before="40" w:after="40" w:line="240" w:lineRule="exact"/>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股份状态</w:t>
            </w:r>
          </w:p>
        </w:tc>
        <w:tc>
          <w:tcPr>
            <w:tcW w:w="1071" w:type="dxa"/>
            <w:tcBorders>
              <w:top w:val="single" w:color="auto" w:sz="2" w:space="0"/>
              <w:left w:val="single" w:color="auto" w:sz="2" w:space="0"/>
              <w:bottom w:val="single" w:color="auto" w:sz="2" w:space="0"/>
              <w:right w:val="single" w:color="auto" w:sz="2" w:space="0"/>
            </w:tcBorders>
            <w:shd w:val="clear" w:color="auto" w:fill="D3D3D3"/>
            <w:vAlign w:val="center"/>
          </w:tcPr>
          <w:p w14:paraId="100AF62B">
            <w:pPr>
              <w:spacing w:before="40" w:after="40" w:line="240" w:lineRule="exact"/>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数量</w:t>
            </w:r>
          </w:p>
        </w:tc>
      </w:tr>
      <w:tr w14:paraId="2D01220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jc w:val="center"/>
        </w:trPr>
        <w:tc>
          <w:tcPr>
            <w:tcW w:w="1442" w:type="dxa"/>
            <w:tcBorders>
              <w:top w:val="single" w:color="auto" w:sz="2" w:space="0"/>
              <w:left w:val="single" w:color="auto" w:sz="2" w:space="0"/>
              <w:bottom w:val="single" w:color="auto" w:sz="2" w:space="0"/>
              <w:right w:val="single" w:color="auto" w:sz="2" w:space="0"/>
            </w:tcBorders>
            <w:vAlign w:val="center"/>
          </w:tcPr>
          <w:p w14:paraId="7D55EFF2">
            <w:pPr>
              <w:spacing w:before="0" w:after="0" w:line="240" w:lineRule="exact"/>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国家能源投资集团有限责任公司</w:t>
            </w:r>
          </w:p>
        </w:tc>
        <w:tc>
          <w:tcPr>
            <w:tcW w:w="1236" w:type="dxa"/>
            <w:tcBorders>
              <w:top w:val="single" w:color="auto" w:sz="2" w:space="0"/>
              <w:left w:val="single" w:color="auto" w:sz="2" w:space="0"/>
              <w:bottom w:val="single" w:color="auto" w:sz="2" w:space="0"/>
              <w:right w:val="single" w:color="auto" w:sz="2" w:space="0"/>
            </w:tcBorders>
            <w:vAlign w:val="center"/>
          </w:tcPr>
          <w:p w14:paraId="674C217D">
            <w:pPr>
              <w:spacing w:before="0" w:after="0" w:line="240" w:lineRule="exact"/>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国有法人</w:t>
            </w:r>
          </w:p>
        </w:tc>
        <w:tc>
          <w:tcPr>
            <w:tcW w:w="1008" w:type="dxa"/>
            <w:tcBorders>
              <w:top w:val="single" w:color="auto" w:sz="2" w:space="0"/>
              <w:left w:val="single" w:color="auto" w:sz="2" w:space="0"/>
              <w:bottom w:val="single" w:color="auto" w:sz="2" w:space="0"/>
              <w:right w:val="single" w:color="auto" w:sz="2" w:space="0"/>
            </w:tcBorders>
            <w:vAlign w:val="center"/>
          </w:tcPr>
          <w:p w14:paraId="4B2866FB">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59.62%</w:t>
            </w:r>
          </w:p>
        </w:tc>
        <w:tc>
          <w:tcPr>
            <w:tcW w:w="1669" w:type="dxa"/>
            <w:gridSpan w:val="2"/>
            <w:tcBorders>
              <w:top w:val="single" w:color="auto" w:sz="2" w:space="0"/>
              <w:left w:val="single" w:color="auto" w:sz="2" w:space="0"/>
              <w:bottom w:val="single" w:color="auto" w:sz="2" w:space="0"/>
              <w:right w:val="single" w:color="auto" w:sz="2" w:space="0"/>
            </w:tcBorders>
            <w:vAlign w:val="center"/>
          </w:tcPr>
          <w:p w14:paraId="7D23C9CE">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2,075,329,926</w:t>
            </w:r>
          </w:p>
        </w:tc>
        <w:tc>
          <w:tcPr>
            <w:tcW w:w="2142" w:type="dxa"/>
            <w:tcBorders>
              <w:top w:val="single" w:color="auto" w:sz="2" w:space="0"/>
              <w:left w:val="single" w:color="auto" w:sz="2" w:space="0"/>
              <w:bottom w:val="single" w:color="auto" w:sz="2" w:space="0"/>
              <w:right w:val="single" w:color="auto" w:sz="2" w:space="0"/>
            </w:tcBorders>
            <w:vAlign w:val="center"/>
          </w:tcPr>
          <w:p w14:paraId="5DE5D3A3">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0</w:t>
            </w:r>
          </w:p>
        </w:tc>
        <w:tc>
          <w:tcPr>
            <w:tcW w:w="1071" w:type="dxa"/>
            <w:tcBorders>
              <w:top w:val="single" w:color="auto" w:sz="2" w:space="0"/>
              <w:left w:val="single" w:color="auto" w:sz="2" w:space="0"/>
              <w:bottom w:val="single" w:color="auto" w:sz="2" w:space="0"/>
              <w:right w:val="single" w:color="auto" w:sz="2" w:space="0"/>
            </w:tcBorders>
            <w:vAlign w:val="center"/>
          </w:tcPr>
          <w:p w14:paraId="4D3BBC33">
            <w:pPr>
              <w:spacing w:before="0" w:after="0" w:line="240" w:lineRule="exact"/>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不适用</w:t>
            </w:r>
          </w:p>
        </w:tc>
        <w:tc>
          <w:tcPr>
            <w:tcW w:w="1071" w:type="dxa"/>
            <w:tcBorders>
              <w:top w:val="single" w:color="auto" w:sz="2" w:space="0"/>
              <w:left w:val="single" w:color="auto" w:sz="2" w:space="0"/>
              <w:bottom w:val="single" w:color="auto" w:sz="2" w:space="0"/>
              <w:right w:val="single" w:color="auto" w:sz="2" w:space="0"/>
            </w:tcBorders>
            <w:vAlign w:val="center"/>
          </w:tcPr>
          <w:p w14:paraId="3C6D0B39">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0</w:t>
            </w:r>
          </w:p>
        </w:tc>
      </w:tr>
      <w:tr w14:paraId="229FA5F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jc w:val="center"/>
        </w:trPr>
        <w:tc>
          <w:tcPr>
            <w:tcW w:w="1442" w:type="dxa"/>
            <w:tcBorders>
              <w:top w:val="single" w:color="auto" w:sz="2" w:space="0"/>
              <w:left w:val="single" w:color="auto" w:sz="2" w:space="0"/>
              <w:bottom w:val="single" w:color="auto" w:sz="2" w:space="0"/>
              <w:right w:val="single" w:color="auto" w:sz="2" w:space="0"/>
            </w:tcBorders>
            <w:vAlign w:val="center"/>
          </w:tcPr>
          <w:p w14:paraId="73F7E5B3">
            <w:pPr>
              <w:spacing w:before="0" w:after="0" w:line="240" w:lineRule="exact"/>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中国能源建设集团有限公司</w:t>
            </w:r>
          </w:p>
        </w:tc>
        <w:tc>
          <w:tcPr>
            <w:tcW w:w="1236" w:type="dxa"/>
            <w:tcBorders>
              <w:top w:val="single" w:color="auto" w:sz="2" w:space="0"/>
              <w:left w:val="single" w:color="auto" w:sz="2" w:space="0"/>
              <w:bottom w:val="single" w:color="auto" w:sz="2" w:space="0"/>
              <w:right w:val="single" w:color="auto" w:sz="2" w:space="0"/>
            </w:tcBorders>
            <w:vAlign w:val="center"/>
          </w:tcPr>
          <w:p w14:paraId="2F12F3CD">
            <w:pPr>
              <w:spacing w:before="0" w:after="0" w:line="240" w:lineRule="exact"/>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国有法人</w:t>
            </w:r>
          </w:p>
        </w:tc>
        <w:tc>
          <w:tcPr>
            <w:tcW w:w="1008" w:type="dxa"/>
            <w:tcBorders>
              <w:top w:val="single" w:color="auto" w:sz="2" w:space="0"/>
              <w:left w:val="single" w:color="auto" w:sz="2" w:space="0"/>
              <w:bottom w:val="single" w:color="auto" w:sz="2" w:space="0"/>
              <w:right w:val="single" w:color="auto" w:sz="2" w:space="0"/>
            </w:tcBorders>
            <w:vAlign w:val="center"/>
          </w:tcPr>
          <w:p w14:paraId="1BBF4560">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2.94%</w:t>
            </w:r>
          </w:p>
        </w:tc>
        <w:tc>
          <w:tcPr>
            <w:tcW w:w="1669" w:type="dxa"/>
            <w:gridSpan w:val="2"/>
            <w:tcBorders>
              <w:top w:val="single" w:color="auto" w:sz="2" w:space="0"/>
              <w:left w:val="single" w:color="auto" w:sz="2" w:space="0"/>
              <w:bottom w:val="single" w:color="auto" w:sz="2" w:space="0"/>
              <w:right w:val="single" w:color="auto" w:sz="2" w:space="0"/>
            </w:tcBorders>
            <w:vAlign w:val="center"/>
          </w:tcPr>
          <w:p w14:paraId="3B756DC2">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102,183,329</w:t>
            </w:r>
          </w:p>
        </w:tc>
        <w:tc>
          <w:tcPr>
            <w:tcW w:w="2142" w:type="dxa"/>
            <w:tcBorders>
              <w:top w:val="single" w:color="auto" w:sz="2" w:space="0"/>
              <w:left w:val="single" w:color="auto" w:sz="2" w:space="0"/>
              <w:bottom w:val="single" w:color="auto" w:sz="2" w:space="0"/>
              <w:right w:val="single" w:color="auto" w:sz="2" w:space="0"/>
            </w:tcBorders>
            <w:vAlign w:val="center"/>
          </w:tcPr>
          <w:p w14:paraId="187BAEBF">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0</w:t>
            </w:r>
          </w:p>
        </w:tc>
        <w:tc>
          <w:tcPr>
            <w:tcW w:w="1071" w:type="dxa"/>
            <w:tcBorders>
              <w:top w:val="single" w:color="auto" w:sz="2" w:space="0"/>
              <w:left w:val="single" w:color="auto" w:sz="2" w:space="0"/>
              <w:bottom w:val="single" w:color="auto" w:sz="2" w:space="0"/>
              <w:right w:val="single" w:color="auto" w:sz="2" w:space="0"/>
            </w:tcBorders>
            <w:vAlign w:val="center"/>
          </w:tcPr>
          <w:p w14:paraId="0F6067AD">
            <w:pPr>
              <w:spacing w:before="0" w:after="0" w:line="240" w:lineRule="exact"/>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不适用</w:t>
            </w:r>
          </w:p>
        </w:tc>
        <w:tc>
          <w:tcPr>
            <w:tcW w:w="1071" w:type="dxa"/>
            <w:tcBorders>
              <w:top w:val="single" w:color="auto" w:sz="2" w:space="0"/>
              <w:left w:val="single" w:color="auto" w:sz="2" w:space="0"/>
              <w:bottom w:val="single" w:color="auto" w:sz="2" w:space="0"/>
              <w:right w:val="single" w:color="auto" w:sz="2" w:space="0"/>
            </w:tcBorders>
            <w:vAlign w:val="center"/>
          </w:tcPr>
          <w:p w14:paraId="21E1A703">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0</w:t>
            </w:r>
          </w:p>
        </w:tc>
      </w:tr>
      <w:tr w14:paraId="747A5F4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jc w:val="center"/>
        </w:trPr>
        <w:tc>
          <w:tcPr>
            <w:tcW w:w="1442" w:type="dxa"/>
            <w:tcBorders>
              <w:top w:val="single" w:color="auto" w:sz="2" w:space="0"/>
              <w:left w:val="single" w:color="auto" w:sz="2" w:space="0"/>
              <w:bottom w:val="single" w:color="auto" w:sz="2" w:space="0"/>
              <w:right w:val="single" w:color="auto" w:sz="2" w:space="0"/>
            </w:tcBorders>
            <w:vAlign w:val="center"/>
          </w:tcPr>
          <w:p w14:paraId="2853E3EE">
            <w:pPr>
              <w:spacing w:before="0" w:after="0" w:line="240" w:lineRule="exact"/>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湖北能源集团股份有限公司</w:t>
            </w:r>
          </w:p>
        </w:tc>
        <w:tc>
          <w:tcPr>
            <w:tcW w:w="1236" w:type="dxa"/>
            <w:tcBorders>
              <w:top w:val="single" w:color="auto" w:sz="2" w:space="0"/>
              <w:left w:val="single" w:color="auto" w:sz="2" w:space="0"/>
              <w:bottom w:val="single" w:color="auto" w:sz="2" w:space="0"/>
              <w:right w:val="single" w:color="auto" w:sz="2" w:space="0"/>
            </w:tcBorders>
            <w:vAlign w:val="center"/>
          </w:tcPr>
          <w:p w14:paraId="20B73499">
            <w:pPr>
              <w:spacing w:before="0" w:after="0" w:line="240" w:lineRule="exact"/>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国有法人</w:t>
            </w:r>
          </w:p>
        </w:tc>
        <w:tc>
          <w:tcPr>
            <w:tcW w:w="1008" w:type="dxa"/>
            <w:tcBorders>
              <w:top w:val="single" w:color="auto" w:sz="2" w:space="0"/>
              <w:left w:val="single" w:color="auto" w:sz="2" w:space="0"/>
              <w:bottom w:val="single" w:color="auto" w:sz="2" w:space="0"/>
              <w:right w:val="single" w:color="auto" w:sz="2" w:space="0"/>
            </w:tcBorders>
            <w:vAlign w:val="center"/>
          </w:tcPr>
          <w:p w14:paraId="61EE12D3">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1.18%</w:t>
            </w:r>
          </w:p>
        </w:tc>
        <w:tc>
          <w:tcPr>
            <w:tcW w:w="1669" w:type="dxa"/>
            <w:gridSpan w:val="2"/>
            <w:tcBorders>
              <w:top w:val="single" w:color="auto" w:sz="2" w:space="0"/>
              <w:left w:val="single" w:color="auto" w:sz="2" w:space="0"/>
              <w:bottom w:val="single" w:color="auto" w:sz="2" w:space="0"/>
              <w:right w:val="single" w:color="auto" w:sz="2" w:space="0"/>
            </w:tcBorders>
            <w:vAlign w:val="center"/>
          </w:tcPr>
          <w:p w14:paraId="3D0C2FC4">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41,158,725</w:t>
            </w:r>
          </w:p>
        </w:tc>
        <w:tc>
          <w:tcPr>
            <w:tcW w:w="2142" w:type="dxa"/>
            <w:tcBorders>
              <w:top w:val="single" w:color="auto" w:sz="2" w:space="0"/>
              <w:left w:val="single" w:color="auto" w:sz="2" w:space="0"/>
              <w:bottom w:val="single" w:color="auto" w:sz="2" w:space="0"/>
              <w:right w:val="single" w:color="auto" w:sz="2" w:space="0"/>
            </w:tcBorders>
            <w:vAlign w:val="center"/>
          </w:tcPr>
          <w:p w14:paraId="5B560C7D">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0</w:t>
            </w:r>
          </w:p>
        </w:tc>
        <w:tc>
          <w:tcPr>
            <w:tcW w:w="1071" w:type="dxa"/>
            <w:tcBorders>
              <w:top w:val="single" w:color="auto" w:sz="2" w:space="0"/>
              <w:left w:val="single" w:color="auto" w:sz="2" w:space="0"/>
              <w:bottom w:val="single" w:color="auto" w:sz="2" w:space="0"/>
              <w:right w:val="single" w:color="auto" w:sz="2" w:space="0"/>
            </w:tcBorders>
            <w:vAlign w:val="center"/>
          </w:tcPr>
          <w:p w14:paraId="1E978B51">
            <w:pPr>
              <w:spacing w:before="0" w:after="0" w:line="240" w:lineRule="exact"/>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不适用</w:t>
            </w:r>
          </w:p>
        </w:tc>
        <w:tc>
          <w:tcPr>
            <w:tcW w:w="1071" w:type="dxa"/>
            <w:tcBorders>
              <w:top w:val="single" w:color="auto" w:sz="2" w:space="0"/>
              <w:left w:val="single" w:color="auto" w:sz="2" w:space="0"/>
              <w:bottom w:val="single" w:color="auto" w:sz="2" w:space="0"/>
              <w:right w:val="single" w:color="auto" w:sz="2" w:space="0"/>
            </w:tcBorders>
            <w:vAlign w:val="center"/>
          </w:tcPr>
          <w:p w14:paraId="57BCEC48">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0</w:t>
            </w:r>
          </w:p>
        </w:tc>
      </w:tr>
      <w:tr w14:paraId="1B7B719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71" w:hRule="atLeast"/>
          <w:jc w:val="center"/>
        </w:trPr>
        <w:tc>
          <w:tcPr>
            <w:tcW w:w="1442" w:type="dxa"/>
            <w:tcBorders>
              <w:top w:val="single" w:color="auto" w:sz="2" w:space="0"/>
              <w:left w:val="single" w:color="auto" w:sz="2" w:space="0"/>
              <w:bottom w:val="single" w:color="auto" w:sz="2" w:space="0"/>
              <w:right w:val="single" w:color="auto" w:sz="2" w:space="0"/>
            </w:tcBorders>
            <w:vAlign w:val="center"/>
          </w:tcPr>
          <w:p w14:paraId="12517DAB">
            <w:pPr>
              <w:spacing w:before="0" w:after="0" w:line="240" w:lineRule="exact"/>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王梓煜</w:t>
            </w:r>
          </w:p>
        </w:tc>
        <w:tc>
          <w:tcPr>
            <w:tcW w:w="1236" w:type="dxa"/>
            <w:tcBorders>
              <w:top w:val="single" w:color="auto" w:sz="2" w:space="0"/>
              <w:left w:val="single" w:color="auto" w:sz="2" w:space="0"/>
              <w:bottom w:val="single" w:color="auto" w:sz="2" w:space="0"/>
              <w:right w:val="single" w:color="auto" w:sz="2" w:space="0"/>
            </w:tcBorders>
            <w:vAlign w:val="center"/>
          </w:tcPr>
          <w:p w14:paraId="7E80E4A5">
            <w:pPr>
              <w:spacing w:before="0" w:after="0" w:line="240" w:lineRule="exact"/>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境内自然人</w:t>
            </w:r>
          </w:p>
        </w:tc>
        <w:tc>
          <w:tcPr>
            <w:tcW w:w="1008" w:type="dxa"/>
            <w:tcBorders>
              <w:top w:val="single" w:color="auto" w:sz="2" w:space="0"/>
              <w:left w:val="single" w:color="auto" w:sz="2" w:space="0"/>
              <w:bottom w:val="single" w:color="auto" w:sz="2" w:space="0"/>
              <w:right w:val="single" w:color="auto" w:sz="2" w:space="0"/>
            </w:tcBorders>
            <w:vAlign w:val="center"/>
          </w:tcPr>
          <w:p w14:paraId="7FF03F35">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0.75%</w:t>
            </w:r>
          </w:p>
        </w:tc>
        <w:tc>
          <w:tcPr>
            <w:tcW w:w="1669" w:type="dxa"/>
            <w:gridSpan w:val="2"/>
            <w:tcBorders>
              <w:top w:val="single" w:color="auto" w:sz="2" w:space="0"/>
              <w:left w:val="single" w:color="auto" w:sz="2" w:space="0"/>
              <w:bottom w:val="single" w:color="auto" w:sz="2" w:space="0"/>
              <w:right w:val="single" w:color="auto" w:sz="2" w:space="0"/>
            </w:tcBorders>
            <w:vAlign w:val="center"/>
          </w:tcPr>
          <w:p w14:paraId="31CD9CDC">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26,265,500</w:t>
            </w:r>
          </w:p>
        </w:tc>
        <w:tc>
          <w:tcPr>
            <w:tcW w:w="2142" w:type="dxa"/>
            <w:tcBorders>
              <w:top w:val="single" w:color="auto" w:sz="2" w:space="0"/>
              <w:left w:val="single" w:color="auto" w:sz="2" w:space="0"/>
              <w:bottom w:val="single" w:color="auto" w:sz="2" w:space="0"/>
              <w:right w:val="single" w:color="auto" w:sz="2" w:space="0"/>
            </w:tcBorders>
            <w:vAlign w:val="center"/>
          </w:tcPr>
          <w:p w14:paraId="17864C0F">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0</w:t>
            </w:r>
          </w:p>
        </w:tc>
        <w:tc>
          <w:tcPr>
            <w:tcW w:w="1071" w:type="dxa"/>
            <w:tcBorders>
              <w:top w:val="single" w:color="auto" w:sz="2" w:space="0"/>
              <w:left w:val="single" w:color="auto" w:sz="2" w:space="0"/>
              <w:bottom w:val="single" w:color="auto" w:sz="2" w:space="0"/>
              <w:right w:val="single" w:color="auto" w:sz="2" w:space="0"/>
            </w:tcBorders>
            <w:vAlign w:val="center"/>
          </w:tcPr>
          <w:p w14:paraId="4DFAA1A4">
            <w:pPr>
              <w:spacing w:before="0" w:after="0" w:line="240" w:lineRule="exact"/>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不适用</w:t>
            </w:r>
          </w:p>
        </w:tc>
        <w:tc>
          <w:tcPr>
            <w:tcW w:w="1071" w:type="dxa"/>
            <w:tcBorders>
              <w:top w:val="single" w:color="auto" w:sz="2" w:space="0"/>
              <w:left w:val="single" w:color="auto" w:sz="2" w:space="0"/>
              <w:bottom w:val="single" w:color="auto" w:sz="2" w:space="0"/>
              <w:right w:val="single" w:color="auto" w:sz="2" w:space="0"/>
            </w:tcBorders>
            <w:vAlign w:val="center"/>
          </w:tcPr>
          <w:p w14:paraId="4CA0454D">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0</w:t>
            </w:r>
          </w:p>
        </w:tc>
      </w:tr>
      <w:tr w14:paraId="5300090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jc w:val="center"/>
        </w:trPr>
        <w:tc>
          <w:tcPr>
            <w:tcW w:w="1442" w:type="dxa"/>
            <w:tcBorders>
              <w:top w:val="single" w:color="auto" w:sz="2" w:space="0"/>
              <w:left w:val="single" w:color="auto" w:sz="2" w:space="0"/>
              <w:bottom w:val="single" w:color="auto" w:sz="2" w:space="0"/>
              <w:right w:val="single" w:color="auto" w:sz="2" w:space="0"/>
            </w:tcBorders>
            <w:vAlign w:val="center"/>
          </w:tcPr>
          <w:p w14:paraId="50435E39">
            <w:pPr>
              <w:spacing w:before="0" w:after="0" w:line="240" w:lineRule="exact"/>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香港中央结算有限公司</w:t>
            </w:r>
          </w:p>
        </w:tc>
        <w:tc>
          <w:tcPr>
            <w:tcW w:w="1236" w:type="dxa"/>
            <w:tcBorders>
              <w:top w:val="single" w:color="auto" w:sz="2" w:space="0"/>
              <w:left w:val="single" w:color="auto" w:sz="2" w:space="0"/>
              <w:bottom w:val="single" w:color="auto" w:sz="2" w:space="0"/>
              <w:right w:val="single" w:color="auto" w:sz="2" w:space="0"/>
            </w:tcBorders>
            <w:vAlign w:val="center"/>
          </w:tcPr>
          <w:p w14:paraId="40239A5E">
            <w:pPr>
              <w:spacing w:before="0" w:after="0" w:line="240" w:lineRule="exact"/>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境外法人</w:t>
            </w:r>
          </w:p>
        </w:tc>
        <w:tc>
          <w:tcPr>
            <w:tcW w:w="1008" w:type="dxa"/>
            <w:tcBorders>
              <w:top w:val="single" w:color="auto" w:sz="2" w:space="0"/>
              <w:left w:val="single" w:color="auto" w:sz="2" w:space="0"/>
              <w:bottom w:val="single" w:color="auto" w:sz="2" w:space="0"/>
              <w:right w:val="single" w:color="auto" w:sz="2" w:space="0"/>
            </w:tcBorders>
            <w:vAlign w:val="center"/>
          </w:tcPr>
          <w:p w14:paraId="560121D3">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0.54%</w:t>
            </w:r>
          </w:p>
        </w:tc>
        <w:tc>
          <w:tcPr>
            <w:tcW w:w="1669" w:type="dxa"/>
            <w:gridSpan w:val="2"/>
            <w:tcBorders>
              <w:top w:val="single" w:color="auto" w:sz="2" w:space="0"/>
              <w:left w:val="single" w:color="auto" w:sz="2" w:space="0"/>
              <w:bottom w:val="single" w:color="auto" w:sz="2" w:space="0"/>
              <w:right w:val="single" w:color="auto" w:sz="2" w:space="0"/>
            </w:tcBorders>
            <w:vAlign w:val="center"/>
          </w:tcPr>
          <w:p w14:paraId="4A593F05">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18,800,370</w:t>
            </w:r>
          </w:p>
        </w:tc>
        <w:tc>
          <w:tcPr>
            <w:tcW w:w="2142" w:type="dxa"/>
            <w:tcBorders>
              <w:top w:val="single" w:color="auto" w:sz="2" w:space="0"/>
              <w:left w:val="single" w:color="auto" w:sz="2" w:space="0"/>
              <w:bottom w:val="single" w:color="auto" w:sz="2" w:space="0"/>
              <w:right w:val="single" w:color="auto" w:sz="2" w:space="0"/>
            </w:tcBorders>
            <w:vAlign w:val="center"/>
          </w:tcPr>
          <w:p w14:paraId="15EF04D2">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0</w:t>
            </w:r>
          </w:p>
        </w:tc>
        <w:tc>
          <w:tcPr>
            <w:tcW w:w="1071" w:type="dxa"/>
            <w:tcBorders>
              <w:top w:val="single" w:color="auto" w:sz="2" w:space="0"/>
              <w:left w:val="single" w:color="auto" w:sz="2" w:space="0"/>
              <w:bottom w:val="single" w:color="auto" w:sz="2" w:space="0"/>
              <w:right w:val="single" w:color="auto" w:sz="2" w:space="0"/>
            </w:tcBorders>
            <w:vAlign w:val="center"/>
          </w:tcPr>
          <w:p w14:paraId="3CB7174A">
            <w:pPr>
              <w:spacing w:before="0" w:after="0" w:line="240" w:lineRule="exact"/>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不适用</w:t>
            </w:r>
          </w:p>
        </w:tc>
        <w:tc>
          <w:tcPr>
            <w:tcW w:w="1071" w:type="dxa"/>
            <w:tcBorders>
              <w:top w:val="single" w:color="auto" w:sz="2" w:space="0"/>
              <w:left w:val="single" w:color="auto" w:sz="2" w:space="0"/>
              <w:bottom w:val="single" w:color="auto" w:sz="2" w:space="0"/>
              <w:right w:val="single" w:color="auto" w:sz="2" w:space="0"/>
            </w:tcBorders>
            <w:vAlign w:val="center"/>
          </w:tcPr>
          <w:p w14:paraId="7A50C08F">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0</w:t>
            </w:r>
          </w:p>
        </w:tc>
      </w:tr>
      <w:tr w14:paraId="59EC7D0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jc w:val="center"/>
        </w:trPr>
        <w:tc>
          <w:tcPr>
            <w:tcW w:w="1442" w:type="dxa"/>
            <w:tcBorders>
              <w:top w:val="single" w:color="auto" w:sz="2" w:space="0"/>
              <w:left w:val="single" w:color="auto" w:sz="2" w:space="0"/>
              <w:bottom w:val="single" w:color="auto" w:sz="2" w:space="0"/>
              <w:right w:val="single" w:color="auto" w:sz="2" w:space="0"/>
            </w:tcBorders>
            <w:vAlign w:val="center"/>
          </w:tcPr>
          <w:p w14:paraId="0F406F9D">
            <w:pPr>
              <w:spacing w:before="0" w:after="0" w:line="240" w:lineRule="exact"/>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中国建设银行股份有限公司－广发中证全指电力公用事业交易型开放式指数证券投资基金</w:t>
            </w:r>
          </w:p>
        </w:tc>
        <w:tc>
          <w:tcPr>
            <w:tcW w:w="1236" w:type="dxa"/>
            <w:tcBorders>
              <w:top w:val="single" w:color="auto" w:sz="2" w:space="0"/>
              <w:left w:val="single" w:color="auto" w:sz="2" w:space="0"/>
              <w:bottom w:val="single" w:color="auto" w:sz="2" w:space="0"/>
              <w:right w:val="single" w:color="auto" w:sz="2" w:space="0"/>
            </w:tcBorders>
            <w:vAlign w:val="center"/>
          </w:tcPr>
          <w:p w14:paraId="204EDA55">
            <w:pPr>
              <w:spacing w:before="0" w:after="0" w:line="240" w:lineRule="exact"/>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其他</w:t>
            </w:r>
          </w:p>
        </w:tc>
        <w:tc>
          <w:tcPr>
            <w:tcW w:w="1008" w:type="dxa"/>
            <w:tcBorders>
              <w:top w:val="single" w:color="auto" w:sz="2" w:space="0"/>
              <w:left w:val="single" w:color="auto" w:sz="2" w:space="0"/>
              <w:bottom w:val="single" w:color="auto" w:sz="2" w:space="0"/>
              <w:right w:val="single" w:color="auto" w:sz="2" w:space="0"/>
            </w:tcBorders>
            <w:vAlign w:val="center"/>
          </w:tcPr>
          <w:p w14:paraId="40E2E349">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0.38%</w:t>
            </w:r>
          </w:p>
        </w:tc>
        <w:tc>
          <w:tcPr>
            <w:tcW w:w="1669" w:type="dxa"/>
            <w:gridSpan w:val="2"/>
            <w:tcBorders>
              <w:top w:val="single" w:color="auto" w:sz="2" w:space="0"/>
              <w:left w:val="single" w:color="auto" w:sz="2" w:space="0"/>
              <w:bottom w:val="single" w:color="auto" w:sz="2" w:space="0"/>
              <w:right w:val="single" w:color="auto" w:sz="2" w:space="0"/>
            </w:tcBorders>
            <w:vAlign w:val="center"/>
          </w:tcPr>
          <w:p w14:paraId="0DC925C9">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13,281,450</w:t>
            </w:r>
          </w:p>
        </w:tc>
        <w:tc>
          <w:tcPr>
            <w:tcW w:w="2142" w:type="dxa"/>
            <w:tcBorders>
              <w:top w:val="single" w:color="auto" w:sz="2" w:space="0"/>
              <w:left w:val="single" w:color="auto" w:sz="2" w:space="0"/>
              <w:bottom w:val="single" w:color="auto" w:sz="2" w:space="0"/>
              <w:right w:val="single" w:color="auto" w:sz="2" w:space="0"/>
            </w:tcBorders>
            <w:vAlign w:val="center"/>
          </w:tcPr>
          <w:p w14:paraId="5BEC6B94">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0</w:t>
            </w:r>
          </w:p>
        </w:tc>
        <w:tc>
          <w:tcPr>
            <w:tcW w:w="1071" w:type="dxa"/>
            <w:tcBorders>
              <w:top w:val="single" w:color="auto" w:sz="2" w:space="0"/>
              <w:left w:val="single" w:color="auto" w:sz="2" w:space="0"/>
              <w:bottom w:val="single" w:color="auto" w:sz="2" w:space="0"/>
              <w:right w:val="single" w:color="auto" w:sz="2" w:space="0"/>
            </w:tcBorders>
            <w:vAlign w:val="center"/>
          </w:tcPr>
          <w:p w14:paraId="317D838A">
            <w:pPr>
              <w:spacing w:before="0" w:after="0" w:line="240" w:lineRule="exact"/>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不适用</w:t>
            </w:r>
          </w:p>
        </w:tc>
        <w:tc>
          <w:tcPr>
            <w:tcW w:w="1071" w:type="dxa"/>
            <w:tcBorders>
              <w:top w:val="single" w:color="auto" w:sz="2" w:space="0"/>
              <w:left w:val="single" w:color="auto" w:sz="2" w:space="0"/>
              <w:bottom w:val="single" w:color="auto" w:sz="2" w:space="0"/>
              <w:right w:val="single" w:color="auto" w:sz="2" w:space="0"/>
            </w:tcBorders>
            <w:vAlign w:val="center"/>
          </w:tcPr>
          <w:p w14:paraId="18C404B4">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0</w:t>
            </w:r>
          </w:p>
        </w:tc>
      </w:tr>
      <w:tr w14:paraId="422E407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jc w:val="center"/>
        </w:trPr>
        <w:tc>
          <w:tcPr>
            <w:tcW w:w="1442" w:type="dxa"/>
            <w:tcBorders>
              <w:top w:val="single" w:color="auto" w:sz="2" w:space="0"/>
              <w:left w:val="single" w:color="auto" w:sz="2" w:space="0"/>
              <w:bottom w:val="single" w:color="auto" w:sz="2" w:space="0"/>
              <w:right w:val="single" w:color="auto" w:sz="2" w:space="0"/>
            </w:tcBorders>
            <w:vAlign w:val="center"/>
          </w:tcPr>
          <w:p w14:paraId="31651DDC">
            <w:pPr>
              <w:spacing w:before="0" w:after="0" w:line="240" w:lineRule="exact"/>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中国工商银行－广发聚丰混合型证券投资基金</w:t>
            </w:r>
          </w:p>
        </w:tc>
        <w:tc>
          <w:tcPr>
            <w:tcW w:w="1236" w:type="dxa"/>
            <w:tcBorders>
              <w:top w:val="single" w:color="auto" w:sz="2" w:space="0"/>
              <w:left w:val="single" w:color="auto" w:sz="2" w:space="0"/>
              <w:bottom w:val="single" w:color="auto" w:sz="2" w:space="0"/>
              <w:right w:val="single" w:color="auto" w:sz="2" w:space="0"/>
            </w:tcBorders>
            <w:vAlign w:val="center"/>
          </w:tcPr>
          <w:p w14:paraId="48B9993D">
            <w:pPr>
              <w:spacing w:before="0" w:after="0" w:line="240" w:lineRule="exact"/>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其他</w:t>
            </w:r>
          </w:p>
        </w:tc>
        <w:tc>
          <w:tcPr>
            <w:tcW w:w="1008" w:type="dxa"/>
            <w:tcBorders>
              <w:top w:val="single" w:color="auto" w:sz="2" w:space="0"/>
              <w:left w:val="single" w:color="auto" w:sz="2" w:space="0"/>
              <w:bottom w:val="single" w:color="auto" w:sz="2" w:space="0"/>
              <w:right w:val="single" w:color="auto" w:sz="2" w:space="0"/>
            </w:tcBorders>
            <w:vAlign w:val="center"/>
          </w:tcPr>
          <w:p w14:paraId="4523838D">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0.33%</w:t>
            </w:r>
          </w:p>
        </w:tc>
        <w:tc>
          <w:tcPr>
            <w:tcW w:w="1669" w:type="dxa"/>
            <w:gridSpan w:val="2"/>
            <w:tcBorders>
              <w:top w:val="single" w:color="auto" w:sz="2" w:space="0"/>
              <w:left w:val="single" w:color="auto" w:sz="2" w:space="0"/>
              <w:bottom w:val="single" w:color="auto" w:sz="2" w:space="0"/>
              <w:right w:val="single" w:color="auto" w:sz="2" w:space="0"/>
            </w:tcBorders>
            <w:vAlign w:val="center"/>
          </w:tcPr>
          <w:p w14:paraId="3313D2BD">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11,434,900</w:t>
            </w:r>
          </w:p>
        </w:tc>
        <w:tc>
          <w:tcPr>
            <w:tcW w:w="2142" w:type="dxa"/>
            <w:tcBorders>
              <w:top w:val="single" w:color="auto" w:sz="2" w:space="0"/>
              <w:left w:val="single" w:color="auto" w:sz="2" w:space="0"/>
              <w:bottom w:val="single" w:color="auto" w:sz="2" w:space="0"/>
              <w:right w:val="single" w:color="auto" w:sz="2" w:space="0"/>
            </w:tcBorders>
            <w:vAlign w:val="center"/>
          </w:tcPr>
          <w:p w14:paraId="46880117">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0</w:t>
            </w:r>
          </w:p>
        </w:tc>
        <w:tc>
          <w:tcPr>
            <w:tcW w:w="1071" w:type="dxa"/>
            <w:tcBorders>
              <w:top w:val="single" w:color="auto" w:sz="2" w:space="0"/>
              <w:left w:val="single" w:color="auto" w:sz="2" w:space="0"/>
              <w:bottom w:val="single" w:color="auto" w:sz="2" w:space="0"/>
              <w:right w:val="single" w:color="auto" w:sz="2" w:space="0"/>
            </w:tcBorders>
            <w:vAlign w:val="center"/>
          </w:tcPr>
          <w:p w14:paraId="7FA57D6B">
            <w:pPr>
              <w:spacing w:before="0" w:after="0" w:line="240" w:lineRule="exact"/>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不适用</w:t>
            </w:r>
          </w:p>
        </w:tc>
        <w:tc>
          <w:tcPr>
            <w:tcW w:w="1071" w:type="dxa"/>
            <w:tcBorders>
              <w:top w:val="single" w:color="auto" w:sz="2" w:space="0"/>
              <w:left w:val="single" w:color="auto" w:sz="2" w:space="0"/>
              <w:bottom w:val="single" w:color="auto" w:sz="2" w:space="0"/>
              <w:right w:val="single" w:color="auto" w:sz="2" w:space="0"/>
            </w:tcBorders>
            <w:vAlign w:val="center"/>
          </w:tcPr>
          <w:p w14:paraId="17B72129">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0</w:t>
            </w:r>
          </w:p>
        </w:tc>
      </w:tr>
      <w:tr w14:paraId="474ADE6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85" w:hRule="atLeast"/>
          <w:jc w:val="center"/>
        </w:trPr>
        <w:tc>
          <w:tcPr>
            <w:tcW w:w="1442" w:type="dxa"/>
            <w:tcBorders>
              <w:top w:val="single" w:color="auto" w:sz="2" w:space="0"/>
              <w:left w:val="single" w:color="auto" w:sz="2" w:space="0"/>
              <w:bottom w:val="single" w:color="auto" w:sz="2" w:space="0"/>
              <w:right w:val="single" w:color="auto" w:sz="2" w:space="0"/>
            </w:tcBorders>
            <w:vAlign w:val="center"/>
          </w:tcPr>
          <w:p w14:paraId="6E102FAB">
            <w:pPr>
              <w:spacing w:before="0" w:after="0" w:line="240" w:lineRule="exact"/>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谢润芳</w:t>
            </w:r>
          </w:p>
        </w:tc>
        <w:tc>
          <w:tcPr>
            <w:tcW w:w="1236" w:type="dxa"/>
            <w:tcBorders>
              <w:top w:val="single" w:color="auto" w:sz="2" w:space="0"/>
              <w:left w:val="single" w:color="auto" w:sz="2" w:space="0"/>
              <w:bottom w:val="single" w:color="auto" w:sz="2" w:space="0"/>
              <w:right w:val="single" w:color="auto" w:sz="2" w:space="0"/>
            </w:tcBorders>
            <w:vAlign w:val="center"/>
          </w:tcPr>
          <w:p w14:paraId="28DD49A2">
            <w:pPr>
              <w:spacing w:before="0" w:after="0" w:line="240" w:lineRule="exact"/>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境内自然人</w:t>
            </w:r>
          </w:p>
        </w:tc>
        <w:tc>
          <w:tcPr>
            <w:tcW w:w="1008" w:type="dxa"/>
            <w:tcBorders>
              <w:top w:val="single" w:color="auto" w:sz="2" w:space="0"/>
              <w:left w:val="single" w:color="auto" w:sz="2" w:space="0"/>
              <w:bottom w:val="single" w:color="auto" w:sz="2" w:space="0"/>
              <w:right w:val="single" w:color="auto" w:sz="2" w:space="0"/>
            </w:tcBorders>
            <w:vAlign w:val="center"/>
          </w:tcPr>
          <w:p w14:paraId="7AA34FAD">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0.28%</w:t>
            </w:r>
          </w:p>
        </w:tc>
        <w:tc>
          <w:tcPr>
            <w:tcW w:w="1669" w:type="dxa"/>
            <w:gridSpan w:val="2"/>
            <w:tcBorders>
              <w:top w:val="single" w:color="auto" w:sz="2" w:space="0"/>
              <w:left w:val="single" w:color="auto" w:sz="2" w:space="0"/>
              <w:bottom w:val="single" w:color="auto" w:sz="2" w:space="0"/>
              <w:right w:val="single" w:color="auto" w:sz="2" w:space="0"/>
            </w:tcBorders>
            <w:vAlign w:val="center"/>
          </w:tcPr>
          <w:p w14:paraId="4A8AE9B3">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9,770,000</w:t>
            </w:r>
          </w:p>
        </w:tc>
        <w:tc>
          <w:tcPr>
            <w:tcW w:w="2142" w:type="dxa"/>
            <w:tcBorders>
              <w:top w:val="single" w:color="auto" w:sz="2" w:space="0"/>
              <w:left w:val="single" w:color="auto" w:sz="2" w:space="0"/>
              <w:bottom w:val="single" w:color="auto" w:sz="2" w:space="0"/>
              <w:right w:val="single" w:color="auto" w:sz="2" w:space="0"/>
            </w:tcBorders>
            <w:vAlign w:val="center"/>
          </w:tcPr>
          <w:p w14:paraId="4B71CAED">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0</w:t>
            </w:r>
          </w:p>
        </w:tc>
        <w:tc>
          <w:tcPr>
            <w:tcW w:w="1071" w:type="dxa"/>
            <w:tcBorders>
              <w:top w:val="single" w:color="auto" w:sz="2" w:space="0"/>
              <w:left w:val="single" w:color="auto" w:sz="2" w:space="0"/>
              <w:bottom w:val="single" w:color="auto" w:sz="2" w:space="0"/>
              <w:right w:val="single" w:color="auto" w:sz="2" w:space="0"/>
            </w:tcBorders>
            <w:vAlign w:val="center"/>
          </w:tcPr>
          <w:p w14:paraId="38D0B3DD">
            <w:pPr>
              <w:spacing w:before="0" w:after="0" w:line="240" w:lineRule="exact"/>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不适用</w:t>
            </w:r>
          </w:p>
        </w:tc>
        <w:tc>
          <w:tcPr>
            <w:tcW w:w="1071" w:type="dxa"/>
            <w:tcBorders>
              <w:top w:val="single" w:color="auto" w:sz="2" w:space="0"/>
              <w:left w:val="single" w:color="auto" w:sz="2" w:space="0"/>
              <w:bottom w:val="single" w:color="auto" w:sz="2" w:space="0"/>
              <w:right w:val="single" w:color="auto" w:sz="2" w:space="0"/>
            </w:tcBorders>
            <w:vAlign w:val="center"/>
          </w:tcPr>
          <w:p w14:paraId="1E347D04">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0</w:t>
            </w:r>
          </w:p>
        </w:tc>
      </w:tr>
      <w:tr w14:paraId="3374836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jc w:val="center"/>
        </w:trPr>
        <w:tc>
          <w:tcPr>
            <w:tcW w:w="1442" w:type="dxa"/>
            <w:tcBorders>
              <w:top w:val="single" w:color="auto" w:sz="2" w:space="0"/>
              <w:left w:val="single" w:color="auto" w:sz="2" w:space="0"/>
              <w:bottom w:val="single" w:color="auto" w:sz="2" w:space="0"/>
              <w:right w:val="single" w:color="auto" w:sz="2" w:space="0"/>
            </w:tcBorders>
            <w:vAlign w:val="center"/>
          </w:tcPr>
          <w:p w14:paraId="69FA33DD">
            <w:pPr>
              <w:spacing w:before="0" w:after="0" w:line="240" w:lineRule="exact"/>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BARCLAYS BANK PLC</w:t>
            </w:r>
          </w:p>
        </w:tc>
        <w:tc>
          <w:tcPr>
            <w:tcW w:w="1236" w:type="dxa"/>
            <w:tcBorders>
              <w:top w:val="single" w:color="auto" w:sz="2" w:space="0"/>
              <w:left w:val="single" w:color="auto" w:sz="2" w:space="0"/>
              <w:bottom w:val="single" w:color="auto" w:sz="2" w:space="0"/>
              <w:right w:val="single" w:color="auto" w:sz="2" w:space="0"/>
            </w:tcBorders>
            <w:vAlign w:val="center"/>
          </w:tcPr>
          <w:p w14:paraId="631BC429">
            <w:pPr>
              <w:spacing w:before="0" w:after="0" w:line="240" w:lineRule="exact"/>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境外法人</w:t>
            </w:r>
          </w:p>
        </w:tc>
        <w:tc>
          <w:tcPr>
            <w:tcW w:w="1008" w:type="dxa"/>
            <w:tcBorders>
              <w:top w:val="single" w:color="auto" w:sz="2" w:space="0"/>
              <w:left w:val="single" w:color="auto" w:sz="2" w:space="0"/>
              <w:bottom w:val="single" w:color="auto" w:sz="2" w:space="0"/>
              <w:right w:val="single" w:color="auto" w:sz="2" w:space="0"/>
            </w:tcBorders>
            <w:vAlign w:val="center"/>
          </w:tcPr>
          <w:p w14:paraId="2A94ECB0">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0.19%</w:t>
            </w:r>
          </w:p>
        </w:tc>
        <w:tc>
          <w:tcPr>
            <w:tcW w:w="1669" w:type="dxa"/>
            <w:gridSpan w:val="2"/>
            <w:tcBorders>
              <w:top w:val="single" w:color="auto" w:sz="2" w:space="0"/>
              <w:left w:val="single" w:color="auto" w:sz="2" w:space="0"/>
              <w:bottom w:val="single" w:color="auto" w:sz="2" w:space="0"/>
              <w:right w:val="single" w:color="auto" w:sz="2" w:space="0"/>
            </w:tcBorders>
            <w:vAlign w:val="center"/>
          </w:tcPr>
          <w:p w14:paraId="6D691629">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6,685,636</w:t>
            </w:r>
          </w:p>
        </w:tc>
        <w:tc>
          <w:tcPr>
            <w:tcW w:w="2142" w:type="dxa"/>
            <w:tcBorders>
              <w:top w:val="single" w:color="auto" w:sz="2" w:space="0"/>
              <w:left w:val="single" w:color="auto" w:sz="2" w:space="0"/>
              <w:bottom w:val="single" w:color="auto" w:sz="2" w:space="0"/>
              <w:right w:val="single" w:color="auto" w:sz="2" w:space="0"/>
            </w:tcBorders>
            <w:vAlign w:val="center"/>
          </w:tcPr>
          <w:p w14:paraId="3EFB060A">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0</w:t>
            </w:r>
          </w:p>
        </w:tc>
        <w:tc>
          <w:tcPr>
            <w:tcW w:w="1071" w:type="dxa"/>
            <w:tcBorders>
              <w:top w:val="single" w:color="auto" w:sz="2" w:space="0"/>
              <w:left w:val="single" w:color="auto" w:sz="2" w:space="0"/>
              <w:bottom w:val="single" w:color="auto" w:sz="2" w:space="0"/>
              <w:right w:val="single" w:color="auto" w:sz="2" w:space="0"/>
            </w:tcBorders>
            <w:vAlign w:val="center"/>
          </w:tcPr>
          <w:p w14:paraId="3D786A7E">
            <w:pPr>
              <w:spacing w:before="0" w:after="0" w:line="240" w:lineRule="exact"/>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不适用</w:t>
            </w:r>
          </w:p>
        </w:tc>
        <w:tc>
          <w:tcPr>
            <w:tcW w:w="1071" w:type="dxa"/>
            <w:tcBorders>
              <w:top w:val="single" w:color="auto" w:sz="2" w:space="0"/>
              <w:left w:val="single" w:color="auto" w:sz="2" w:space="0"/>
              <w:bottom w:val="single" w:color="auto" w:sz="2" w:space="0"/>
              <w:right w:val="single" w:color="auto" w:sz="2" w:space="0"/>
            </w:tcBorders>
            <w:vAlign w:val="center"/>
          </w:tcPr>
          <w:p w14:paraId="2362633D">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0</w:t>
            </w:r>
          </w:p>
        </w:tc>
      </w:tr>
      <w:tr w14:paraId="029FD9B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421" w:hRule="atLeast"/>
          <w:jc w:val="center"/>
        </w:trPr>
        <w:tc>
          <w:tcPr>
            <w:tcW w:w="1442" w:type="dxa"/>
            <w:tcBorders>
              <w:top w:val="single" w:color="auto" w:sz="2" w:space="0"/>
              <w:left w:val="single" w:color="auto" w:sz="2" w:space="0"/>
              <w:bottom w:val="single" w:color="auto" w:sz="2" w:space="0"/>
              <w:right w:val="single" w:color="auto" w:sz="2" w:space="0"/>
            </w:tcBorders>
            <w:vAlign w:val="center"/>
          </w:tcPr>
          <w:p w14:paraId="4EE6AA8A">
            <w:pPr>
              <w:spacing w:before="0" w:after="0" w:line="240" w:lineRule="exact"/>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王雪良</w:t>
            </w:r>
          </w:p>
        </w:tc>
        <w:tc>
          <w:tcPr>
            <w:tcW w:w="1236" w:type="dxa"/>
            <w:tcBorders>
              <w:top w:val="single" w:color="auto" w:sz="2" w:space="0"/>
              <w:left w:val="single" w:color="auto" w:sz="2" w:space="0"/>
              <w:bottom w:val="single" w:color="auto" w:sz="2" w:space="0"/>
              <w:right w:val="single" w:color="auto" w:sz="2" w:space="0"/>
            </w:tcBorders>
            <w:vAlign w:val="center"/>
          </w:tcPr>
          <w:p w14:paraId="56ED3423">
            <w:pPr>
              <w:spacing w:before="0" w:after="0" w:line="240" w:lineRule="exact"/>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境内自然人</w:t>
            </w:r>
          </w:p>
        </w:tc>
        <w:tc>
          <w:tcPr>
            <w:tcW w:w="1008" w:type="dxa"/>
            <w:tcBorders>
              <w:top w:val="single" w:color="auto" w:sz="2" w:space="0"/>
              <w:left w:val="single" w:color="auto" w:sz="2" w:space="0"/>
              <w:bottom w:val="single" w:color="auto" w:sz="2" w:space="0"/>
              <w:right w:val="single" w:color="auto" w:sz="2" w:space="0"/>
            </w:tcBorders>
            <w:vAlign w:val="center"/>
          </w:tcPr>
          <w:p w14:paraId="6FBB6C8F">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0.16%</w:t>
            </w:r>
          </w:p>
        </w:tc>
        <w:tc>
          <w:tcPr>
            <w:tcW w:w="1669" w:type="dxa"/>
            <w:gridSpan w:val="2"/>
            <w:tcBorders>
              <w:top w:val="single" w:color="auto" w:sz="2" w:space="0"/>
              <w:left w:val="single" w:color="auto" w:sz="2" w:space="0"/>
              <w:bottom w:val="single" w:color="auto" w:sz="2" w:space="0"/>
              <w:right w:val="single" w:color="auto" w:sz="2" w:space="0"/>
            </w:tcBorders>
            <w:vAlign w:val="center"/>
          </w:tcPr>
          <w:p w14:paraId="39705C31">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5,506,000</w:t>
            </w:r>
          </w:p>
        </w:tc>
        <w:tc>
          <w:tcPr>
            <w:tcW w:w="2142" w:type="dxa"/>
            <w:tcBorders>
              <w:top w:val="single" w:color="auto" w:sz="2" w:space="0"/>
              <w:left w:val="single" w:color="auto" w:sz="2" w:space="0"/>
              <w:bottom w:val="single" w:color="auto" w:sz="2" w:space="0"/>
              <w:right w:val="single" w:color="auto" w:sz="2" w:space="0"/>
            </w:tcBorders>
            <w:vAlign w:val="center"/>
          </w:tcPr>
          <w:p w14:paraId="2A9E7482">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0</w:t>
            </w:r>
          </w:p>
        </w:tc>
        <w:tc>
          <w:tcPr>
            <w:tcW w:w="1071" w:type="dxa"/>
            <w:tcBorders>
              <w:top w:val="single" w:color="auto" w:sz="2" w:space="0"/>
              <w:left w:val="single" w:color="auto" w:sz="2" w:space="0"/>
              <w:bottom w:val="single" w:color="auto" w:sz="2" w:space="0"/>
              <w:right w:val="single" w:color="auto" w:sz="2" w:space="0"/>
            </w:tcBorders>
            <w:vAlign w:val="center"/>
          </w:tcPr>
          <w:p w14:paraId="395BC8AF">
            <w:pPr>
              <w:spacing w:before="0" w:after="0" w:line="240" w:lineRule="exact"/>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不适用</w:t>
            </w:r>
          </w:p>
        </w:tc>
        <w:tc>
          <w:tcPr>
            <w:tcW w:w="1071" w:type="dxa"/>
            <w:tcBorders>
              <w:top w:val="single" w:color="auto" w:sz="2" w:space="0"/>
              <w:left w:val="single" w:color="auto" w:sz="2" w:space="0"/>
              <w:bottom w:val="single" w:color="auto" w:sz="2" w:space="0"/>
              <w:right w:val="single" w:color="auto" w:sz="2" w:space="0"/>
            </w:tcBorders>
            <w:vAlign w:val="center"/>
          </w:tcPr>
          <w:p w14:paraId="14098278">
            <w:pPr>
              <w:spacing w:before="0" w:after="0" w:line="240" w:lineRule="exact"/>
              <w:jc w:val="righ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0</w:t>
            </w:r>
          </w:p>
        </w:tc>
      </w:tr>
      <w:tr w14:paraId="70CBD75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jc w:val="center"/>
        </w:trPr>
        <w:tc>
          <w:tcPr>
            <w:tcW w:w="2678" w:type="dxa"/>
            <w:gridSpan w:val="2"/>
            <w:tcBorders>
              <w:top w:val="single" w:color="auto" w:sz="2" w:space="0"/>
              <w:left w:val="single" w:color="auto" w:sz="2" w:space="0"/>
              <w:bottom w:val="single" w:color="auto" w:sz="2" w:space="0"/>
              <w:right w:val="single" w:color="auto" w:sz="2" w:space="0"/>
            </w:tcBorders>
            <w:shd w:val="clear" w:color="auto" w:fill="D3D3D3"/>
            <w:vAlign w:val="center"/>
          </w:tcPr>
          <w:p w14:paraId="4FCC224E">
            <w:pPr>
              <w:spacing w:before="40" w:after="40" w:line="240" w:lineRule="exact"/>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上述股东关联关系或一致行动的说明</w:t>
            </w:r>
          </w:p>
        </w:tc>
        <w:tc>
          <w:tcPr>
            <w:tcW w:w="6961" w:type="dxa"/>
            <w:gridSpan w:val="6"/>
            <w:tcBorders>
              <w:top w:val="single" w:color="auto" w:sz="2" w:space="0"/>
              <w:left w:val="single" w:color="auto" w:sz="2" w:space="0"/>
              <w:bottom w:val="single" w:color="auto" w:sz="2" w:space="0"/>
              <w:right w:val="single" w:color="auto" w:sz="2" w:space="0"/>
            </w:tcBorders>
            <w:vAlign w:val="center"/>
          </w:tcPr>
          <w:p w14:paraId="36A922F5">
            <w:pPr>
              <w:spacing w:before="0" w:after="0" w:line="240" w:lineRule="exact"/>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国家能源投资集团有限责任公司是湖北能源集团股份有限公司的股东，持股比例为3.00%。除此之外，上述股东之间未知是否存在其它关联关系或属于《上市公司收购管理办法》规定的一致行动人。</w:t>
            </w:r>
          </w:p>
        </w:tc>
      </w:tr>
      <w:tr w14:paraId="489DE6F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jc w:val="center"/>
        </w:trPr>
        <w:tc>
          <w:tcPr>
            <w:tcW w:w="2678" w:type="dxa"/>
            <w:gridSpan w:val="2"/>
            <w:tcBorders>
              <w:top w:val="single" w:color="auto" w:sz="2" w:space="0"/>
              <w:left w:val="single" w:color="auto" w:sz="2" w:space="0"/>
              <w:bottom w:val="single" w:color="auto" w:sz="2" w:space="0"/>
              <w:right w:val="single" w:color="auto" w:sz="2" w:space="0"/>
            </w:tcBorders>
            <w:shd w:val="clear" w:color="auto" w:fill="D3D3D3"/>
            <w:vAlign w:val="center"/>
          </w:tcPr>
          <w:p w14:paraId="0E043922">
            <w:pPr>
              <w:spacing w:before="40" w:after="40" w:line="240" w:lineRule="exact"/>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参与融资融券业务股东情况说明（如有）</w:t>
            </w:r>
          </w:p>
        </w:tc>
        <w:tc>
          <w:tcPr>
            <w:tcW w:w="6961" w:type="dxa"/>
            <w:gridSpan w:val="6"/>
            <w:tcBorders>
              <w:top w:val="single" w:color="auto" w:sz="2" w:space="0"/>
              <w:left w:val="single" w:color="auto" w:sz="2" w:space="0"/>
              <w:bottom w:val="single" w:color="auto" w:sz="2" w:space="0"/>
              <w:right w:val="single" w:color="auto" w:sz="2" w:space="0"/>
            </w:tcBorders>
            <w:vAlign w:val="center"/>
          </w:tcPr>
          <w:p w14:paraId="24BD17DB">
            <w:pPr>
              <w:spacing w:before="0" w:after="0" w:line="240" w:lineRule="exact"/>
              <w:jc w:val="left"/>
              <w:rPr>
                <w:rFonts w:hint="default" w:ascii="Times New Roman" w:hAnsi="Times New Roman" w:eastAsia="宋体" w:cs="Times New Roman"/>
                <w:sz w:val="18"/>
                <w:szCs w:val="18"/>
              </w:rPr>
            </w:pPr>
            <w:r>
              <w:rPr>
                <w:rFonts w:hint="default" w:ascii="Times New Roman" w:hAnsi="Times New Roman" w:eastAsia="宋体" w:cs="Times New Roman"/>
                <w:sz w:val="18"/>
                <w:szCs w:val="18"/>
              </w:rPr>
              <w:t>股东谢润芳，通过中信建投证券股份有限公司客户信用交易担保证券账户持有本公司股票6,020,000股。</w:t>
            </w:r>
          </w:p>
        </w:tc>
      </w:tr>
    </w:tbl>
    <w:p w14:paraId="74D98A80">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default" w:ascii="Times New Roman" w:hAnsi="Times New Roman" w:cs="Times New Roman" w:eastAsiaTheme="minorEastAsia"/>
          <w:sz w:val="21"/>
          <w:szCs w:val="21"/>
        </w:rPr>
      </w:pPr>
      <w:r>
        <w:rPr>
          <w:rFonts w:hint="default" w:ascii="Times New Roman" w:hAnsi="Times New Roman" w:cs="Times New Roman" w:eastAsiaTheme="minorEastAsia"/>
          <w:sz w:val="21"/>
          <w:szCs w:val="21"/>
        </w:rPr>
        <w:t>持股5%以上股东、前10名股东及前10名无限售流通股股东参与转融通业务出借股份情况</w:t>
      </w:r>
    </w:p>
    <w:p w14:paraId="6EAED9E1">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default" w:asciiTheme="minorEastAsia" w:hAnsiTheme="minorEastAsia" w:eastAsiaTheme="minorEastAsia" w:cstheme="minorEastAsia"/>
          <w:sz w:val="21"/>
          <w:szCs w:val="21"/>
        </w:rPr>
      </w:pPr>
      <w:r>
        <w:rPr>
          <w:rFonts w:hint="default" w:asciiTheme="minorEastAsia" w:hAnsiTheme="minorEastAsia" w:eastAsiaTheme="minorEastAsia" w:cstheme="minorEastAsia"/>
          <w:sz w:val="21"/>
          <w:szCs w:val="21"/>
        </w:rPr>
        <w:t xml:space="preserve">□适用 </w:t>
      </w:r>
      <w:r>
        <w:rPr>
          <w:rFonts w:hint="default" w:asciiTheme="minorEastAsia" w:hAnsiTheme="minorEastAsia" w:eastAsiaTheme="minorEastAsia" w:cstheme="minorEastAsia"/>
          <w:sz w:val="21"/>
          <w:szCs w:val="21"/>
        </w:rPr>
        <w:sym w:font="Wingdings 2" w:char="F052"/>
      </w:r>
      <w:r>
        <w:rPr>
          <w:rFonts w:hint="default" w:asciiTheme="minorEastAsia" w:hAnsiTheme="minorEastAsia" w:eastAsiaTheme="minorEastAsia" w:cstheme="minorEastAsia"/>
          <w:sz w:val="21"/>
          <w:szCs w:val="21"/>
        </w:rPr>
        <w:t>不适用</w:t>
      </w:r>
    </w:p>
    <w:p w14:paraId="1654A2D0">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default" w:ascii="Times New Roman" w:hAnsi="Times New Roman" w:cs="Times New Roman" w:eastAsiaTheme="minorEastAsia"/>
          <w:sz w:val="21"/>
          <w:szCs w:val="21"/>
        </w:rPr>
      </w:pPr>
      <w:r>
        <w:rPr>
          <w:rFonts w:hint="default" w:ascii="Times New Roman" w:hAnsi="Times New Roman" w:cs="Times New Roman" w:eastAsiaTheme="minorEastAsia"/>
          <w:sz w:val="21"/>
          <w:szCs w:val="21"/>
        </w:rPr>
        <w:t>前10名股东及前10名无限售流通股股东因转融通出借/归还原因导致较上期发生变化</w:t>
      </w:r>
    </w:p>
    <w:p w14:paraId="1431E6B7">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default" w:asciiTheme="minorEastAsia" w:hAnsiTheme="minorEastAsia" w:eastAsiaTheme="minorEastAsia" w:cstheme="minorEastAsia"/>
          <w:sz w:val="21"/>
          <w:szCs w:val="21"/>
        </w:rPr>
      </w:pPr>
      <w:r>
        <w:rPr>
          <w:rFonts w:hint="default" w:asciiTheme="minorEastAsia" w:hAnsiTheme="minorEastAsia" w:eastAsiaTheme="minorEastAsia" w:cstheme="minorEastAsia"/>
          <w:sz w:val="21"/>
          <w:szCs w:val="21"/>
        </w:rPr>
        <w:t xml:space="preserve">□适用 </w:t>
      </w:r>
      <w:r>
        <w:rPr>
          <w:rFonts w:hint="default" w:asciiTheme="minorEastAsia" w:hAnsiTheme="minorEastAsia" w:eastAsiaTheme="minorEastAsia" w:cstheme="minorEastAsia"/>
          <w:sz w:val="21"/>
          <w:szCs w:val="21"/>
        </w:rPr>
        <w:sym w:font="Wingdings 2" w:char="F052"/>
      </w:r>
      <w:r>
        <w:rPr>
          <w:rFonts w:hint="default" w:asciiTheme="minorEastAsia" w:hAnsiTheme="minorEastAsia" w:eastAsiaTheme="minorEastAsia" w:cstheme="minorEastAsia"/>
          <w:sz w:val="21"/>
          <w:szCs w:val="21"/>
        </w:rPr>
        <w:t>不适用</w:t>
      </w:r>
    </w:p>
    <w:p w14:paraId="13037F45">
      <w:pPr>
        <w:pStyle w:val="3"/>
        <w:keepNext/>
        <w:keepLines/>
        <w:spacing w:before="300" w:after="300" w:line="280" w:lineRule="exact"/>
        <w:jc w:val="left"/>
        <w:outlineLvl w:val="2"/>
        <w:rPr>
          <w:rFonts w:hint="default" w:ascii="Times New Roman" w:hAnsi="Times New Roman" w:eastAsia="宋体" w:cs="Times New Roman"/>
          <w:b/>
          <w:bCs/>
          <w:sz w:val="21"/>
          <w:szCs w:val="21"/>
        </w:rPr>
      </w:pPr>
      <w:bookmarkStart w:id="5" w:name="_Toc988894"/>
      <w:r>
        <w:rPr>
          <w:rFonts w:hint="default" w:ascii="Times New Roman" w:hAnsi="Times New Roman" w:eastAsia="宋体" w:cs="Times New Roman"/>
          <w:b/>
          <w:bCs/>
          <w:sz w:val="21"/>
          <w:szCs w:val="21"/>
        </w:rPr>
        <w:t>4、控股股东或实际控制人变更情况</w:t>
      </w:r>
      <w:bookmarkEnd w:id="5"/>
    </w:p>
    <w:p w14:paraId="042BBBED">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控股股东报告期内变更</w:t>
      </w:r>
    </w:p>
    <w:p w14:paraId="29287CFA">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 xml:space="preserve">□适用 </w:t>
      </w:r>
      <w:r>
        <w:rPr>
          <w:rFonts w:hint="eastAsia" w:asciiTheme="minorEastAsia" w:hAnsiTheme="minorEastAsia" w:eastAsiaTheme="minorEastAsia" w:cstheme="minorEastAsia"/>
          <w:sz w:val="21"/>
          <w:szCs w:val="21"/>
        </w:rPr>
        <w:sym w:font="Wingdings 2" w:char="F052"/>
      </w:r>
      <w:r>
        <w:rPr>
          <w:rFonts w:hint="eastAsia" w:asciiTheme="minorEastAsia" w:hAnsiTheme="minorEastAsia" w:eastAsiaTheme="minorEastAsia" w:cstheme="minorEastAsia"/>
          <w:sz w:val="21"/>
          <w:szCs w:val="21"/>
        </w:rPr>
        <w:t>不适用</w:t>
      </w:r>
    </w:p>
    <w:p w14:paraId="404293B4">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公司报告期控股股东未发生变更。</w:t>
      </w:r>
    </w:p>
    <w:p w14:paraId="6B0BCD0D">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实际控制人报告期内变更</w:t>
      </w:r>
    </w:p>
    <w:p w14:paraId="695E8EE2">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 xml:space="preserve">□适用 </w:t>
      </w:r>
      <w:r>
        <w:rPr>
          <w:rFonts w:hint="eastAsia" w:asciiTheme="minorEastAsia" w:hAnsiTheme="minorEastAsia" w:eastAsiaTheme="minorEastAsia" w:cstheme="minorEastAsia"/>
          <w:sz w:val="21"/>
          <w:szCs w:val="21"/>
        </w:rPr>
        <w:sym w:font="Wingdings 2" w:char="F052"/>
      </w:r>
      <w:r>
        <w:rPr>
          <w:rFonts w:hint="eastAsia" w:asciiTheme="minorEastAsia" w:hAnsiTheme="minorEastAsia" w:eastAsiaTheme="minorEastAsia" w:cstheme="minorEastAsia"/>
          <w:sz w:val="21"/>
          <w:szCs w:val="21"/>
        </w:rPr>
        <w:t>不适用</w:t>
      </w:r>
    </w:p>
    <w:p w14:paraId="7F0CAE1A">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公司报告期实际控制人未发生变更。</w:t>
      </w:r>
    </w:p>
    <w:p w14:paraId="1FFC9425">
      <w:pPr>
        <w:pStyle w:val="3"/>
        <w:keepNext/>
        <w:keepLines/>
        <w:spacing w:before="300" w:after="300" w:line="280" w:lineRule="exact"/>
        <w:jc w:val="left"/>
        <w:outlineLvl w:val="2"/>
        <w:rPr>
          <w:rFonts w:hint="default" w:ascii="Times New Roman" w:hAnsi="Times New Roman" w:eastAsia="宋体" w:cs="Times New Roman"/>
          <w:b/>
          <w:bCs/>
          <w:sz w:val="21"/>
          <w:szCs w:val="21"/>
        </w:rPr>
      </w:pPr>
      <w:bookmarkStart w:id="6" w:name="_Toc988895"/>
      <w:r>
        <w:rPr>
          <w:rFonts w:hint="default" w:ascii="Times New Roman" w:hAnsi="Times New Roman" w:eastAsia="宋体" w:cs="Times New Roman"/>
          <w:b/>
          <w:bCs/>
          <w:sz w:val="21"/>
          <w:szCs w:val="21"/>
        </w:rPr>
        <w:t>5、公司优先股股东总数及前10名优先股股东持股情况表</w:t>
      </w:r>
      <w:bookmarkEnd w:id="6"/>
    </w:p>
    <w:p w14:paraId="3FEDF2EC">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default" w:asciiTheme="minorEastAsia" w:hAnsiTheme="minorEastAsia" w:eastAsiaTheme="minorEastAsia" w:cstheme="minorEastAsia"/>
          <w:sz w:val="21"/>
          <w:szCs w:val="21"/>
        </w:rPr>
      </w:pPr>
      <w:r>
        <w:rPr>
          <w:rFonts w:hint="default" w:asciiTheme="minorEastAsia" w:hAnsiTheme="minorEastAsia" w:eastAsiaTheme="minorEastAsia" w:cstheme="minorEastAsia"/>
          <w:sz w:val="21"/>
          <w:szCs w:val="21"/>
        </w:rPr>
        <w:t xml:space="preserve">□适用 </w:t>
      </w:r>
      <w:r>
        <w:rPr>
          <w:rFonts w:hint="default" w:asciiTheme="minorEastAsia" w:hAnsiTheme="minorEastAsia" w:eastAsiaTheme="minorEastAsia" w:cstheme="minorEastAsia"/>
          <w:sz w:val="21"/>
          <w:szCs w:val="21"/>
        </w:rPr>
        <w:sym w:font="Wingdings 2" w:char="F052"/>
      </w:r>
      <w:r>
        <w:rPr>
          <w:rFonts w:hint="default" w:asciiTheme="minorEastAsia" w:hAnsiTheme="minorEastAsia" w:eastAsiaTheme="minorEastAsia" w:cstheme="minorEastAsia"/>
          <w:sz w:val="21"/>
          <w:szCs w:val="21"/>
        </w:rPr>
        <w:t>不适用</w:t>
      </w:r>
    </w:p>
    <w:p w14:paraId="356D6617">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default" w:asciiTheme="minorEastAsia" w:hAnsiTheme="minorEastAsia" w:eastAsiaTheme="minorEastAsia" w:cstheme="minorEastAsia"/>
          <w:sz w:val="21"/>
          <w:szCs w:val="21"/>
        </w:rPr>
      </w:pPr>
      <w:r>
        <w:rPr>
          <w:rFonts w:hint="default" w:asciiTheme="minorEastAsia" w:hAnsiTheme="minorEastAsia" w:eastAsiaTheme="minorEastAsia" w:cstheme="minorEastAsia"/>
          <w:sz w:val="21"/>
          <w:szCs w:val="21"/>
        </w:rPr>
        <w:t>公司报告期无优先股股东持股情况。</w:t>
      </w:r>
    </w:p>
    <w:p w14:paraId="3A965AD5">
      <w:pPr>
        <w:pStyle w:val="3"/>
        <w:keepNext/>
        <w:keepLines/>
        <w:spacing w:before="300" w:after="300" w:line="280" w:lineRule="exact"/>
        <w:jc w:val="left"/>
        <w:outlineLvl w:val="2"/>
        <w:rPr>
          <w:rFonts w:hint="default" w:ascii="Times New Roman" w:hAnsi="Times New Roman" w:eastAsia="宋体" w:cs="Times New Roman"/>
          <w:b/>
          <w:bCs/>
          <w:sz w:val="21"/>
          <w:szCs w:val="21"/>
        </w:rPr>
      </w:pPr>
      <w:bookmarkStart w:id="7" w:name="_Toc988896"/>
      <w:r>
        <w:rPr>
          <w:rFonts w:hint="default" w:ascii="Times New Roman" w:hAnsi="Times New Roman" w:eastAsia="宋体" w:cs="Times New Roman"/>
          <w:b/>
          <w:bCs/>
          <w:sz w:val="21"/>
          <w:szCs w:val="21"/>
        </w:rPr>
        <w:t>6、在半年度报告批准报出日存续的债券情况</w:t>
      </w:r>
      <w:bookmarkEnd w:id="7"/>
    </w:p>
    <w:p w14:paraId="63E29FCD">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default" w:asciiTheme="minorEastAsia" w:hAnsiTheme="minorEastAsia" w:eastAsiaTheme="minorEastAsia" w:cstheme="minorEastAsia"/>
          <w:sz w:val="21"/>
          <w:szCs w:val="21"/>
        </w:rPr>
      </w:pPr>
      <w:r>
        <w:rPr>
          <w:rFonts w:hint="default" w:asciiTheme="minorEastAsia" w:hAnsiTheme="minorEastAsia" w:eastAsiaTheme="minorEastAsia" w:cstheme="minorEastAsia"/>
          <w:sz w:val="21"/>
          <w:szCs w:val="21"/>
        </w:rPr>
        <w:t xml:space="preserve">□适用 </w:t>
      </w:r>
      <w:r>
        <w:rPr>
          <w:rFonts w:hint="default" w:asciiTheme="minorEastAsia" w:hAnsiTheme="minorEastAsia" w:eastAsiaTheme="minorEastAsia" w:cstheme="minorEastAsia"/>
          <w:sz w:val="21"/>
          <w:szCs w:val="21"/>
        </w:rPr>
        <w:sym w:font="Wingdings 2" w:char="F052"/>
      </w:r>
      <w:r>
        <w:rPr>
          <w:rFonts w:hint="default" w:asciiTheme="minorEastAsia" w:hAnsiTheme="minorEastAsia" w:eastAsiaTheme="minorEastAsia" w:cstheme="minorEastAsia"/>
          <w:sz w:val="21"/>
          <w:szCs w:val="21"/>
        </w:rPr>
        <w:t>不适用</w:t>
      </w:r>
    </w:p>
    <w:p w14:paraId="6A27D0C0">
      <w:pPr>
        <w:pStyle w:val="2"/>
        <w:keepNext/>
        <w:keepLines/>
        <w:spacing w:before="300" w:after="300" w:line="320" w:lineRule="exact"/>
        <w:jc w:val="left"/>
        <w:outlineLvl w:val="1"/>
        <w:rPr>
          <w:rFonts w:hint="default" w:ascii="Times New Roman" w:hAnsi="Times New Roman" w:eastAsia="宋体" w:cs="Times New Roman"/>
          <w:b/>
          <w:bCs/>
          <w:sz w:val="24"/>
          <w:szCs w:val="24"/>
        </w:rPr>
      </w:pPr>
      <w:bookmarkStart w:id="8" w:name="_Toc988897"/>
      <w:r>
        <w:rPr>
          <w:rFonts w:hint="default" w:ascii="Times New Roman" w:hAnsi="Times New Roman" w:eastAsia="宋体" w:cs="Times New Roman"/>
          <w:b/>
          <w:bCs/>
          <w:sz w:val="24"/>
          <w:szCs w:val="24"/>
        </w:rPr>
        <w:t>三、重要事项</w:t>
      </w:r>
      <w:bookmarkEnd w:id="8"/>
    </w:p>
    <w:p w14:paraId="678F5896">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right="0" w:firstLine="42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 报告期内，经公司第十一届董事会第四次会议审议通过，公司2025年度计提信用减值损失和资产减值损失共计12,253.36万元，相应减少公司2025年度营业利润12,253.36万元（具体内容详见公司于2026年4月24日在《中国证券报》《证券时报》和巨潮资讯网上披露的《关于计提资产减值准备的公告》，公告编号：2026-018）。</w:t>
      </w:r>
    </w:p>
    <w:p w14:paraId="237D4053">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right="0" w:firstLine="42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 报告期内，经公司第十一届董事会第四次会议及2025年度股东会审议通过，因公司2025年合并口径亏损，不满足现金分红的条件。综合考虑公司日常经营和未来发展的资金需求，公司2025年度拟不进行利润分配，拟不派发现金红利、不送红股、不以资本公积金转增股本（具体内容详见公司于2026年4月24日在《中国证券报》《证券时报》和巨潮资讯网上披露的《关于2025年度利润分配方案的公告》，公告编号：2026-016）。</w:t>
      </w:r>
    </w:p>
    <w:p w14:paraId="46902277">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right="0" w:firstLine="42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 经中国证监会出具的《关于同意国家能源集团长源电力股份有限公司向特定对象发行股票注册的批复》（证监许可〔2024〕1021号）同意注册，公司向特定对象发行人民币普通股（A股）共计731,707,317股，发行价格为4.10元/股。本次向特定对象发行股票新增731,707,317股于2024年12月3日上市，其中，公司控股股东国家能源集团认购的股份自发行结束并上市之日起18个月内不得转让，其他发行对象认购的股份自发行结束并上市之日起6个月内不得转让。报告期内，公司完成了控股股东国家能源集团认购股份的解除限售，解除限售股份数量为219,512,196股，占公司总股本3,481,035,016股的6.3059%，占本次解除限售前公司无限售条件股份的6.7304%，占本次解除限售后公司无限售条件股份的6.3059%，本次解除限售股份的上市流通日期为2026年6月3日（具体内容详见公司于2026年6月1日在《中国证券报》《证券时报》和巨潮资讯网上披露的《关于向特定对象发行股票部分限售股份解除限售上市流通的提示性公告》，公告编号：2026-035）。</w:t>
      </w:r>
    </w:p>
    <w:p w14:paraId="6F42E7A0">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right="0" w:firstLine="42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报告期内，公司董事会收到公司董事王娟女士的书面辞职报告。因正常工作调整，王娟女士申请辞去公司董事职务，辞职后将不在公司及其控股子公司任职（具体内容详见公司于 2026年6月12日在《中国证券报》《证券时报》和巨潮资讯网上披露的《关于公司董事辞职的公告》，公告编号：2026-038）。</w:t>
      </w:r>
    </w:p>
    <w:sectPr>
      <w:headerReference r:id="rId3" w:type="default"/>
      <w:footerReference r:id="rId4" w:type="default"/>
      <w:pgSz w:w="11905" w:h="16840"/>
      <w:pgMar w:top="1440" w:right="1134" w:bottom="1440" w:left="1134" w:header="850" w:footer="992" w:gutter="0"/>
      <w:cols w:space="720"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0AFF" w:usb1="00007843" w:usb2="00000001" w:usb3="00000000" w:csb0="400001BF" w:csb1="DFF7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小标宋简体">
    <w:panose1 w:val="02000000000000000000"/>
    <w:charset w:val="86"/>
    <w:family w:val="auto"/>
    <w:pitch w:val="default"/>
    <w:sig w:usb0="A00002BF" w:usb1="184F6CFA" w:usb2="00000012" w:usb3="00000000" w:csb0="00040001" w:csb1="00000000"/>
  </w:font>
  <w:font w:name="Wingdings 2">
    <w:panose1 w:val="05020102010507070707"/>
    <w:charset w:val="00"/>
    <w:family w:val="auto"/>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0C4F4D">
    <w:pPr>
      <w:pStyle w:val="11"/>
    </w:pPr>
    <w:r>
      <w:fldChar w:fldCharType="begin"/>
    </w:r>
    <w:r>
      <w:instrText xml:space="preserve">PAGE   \* MERGEFORMAT</w:instrText>
    </w:r>
    <w:r>
      <w:fldChar w:fldCharType="separate"/>
    </w:r>
    <w:r>
      <w:t>1</w:t>
    </w:r>
    <w: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3E41D2">
    <w:pPr>
      <w:pStyle w:val="9"/>
      <w:pBdr>
        <w:bottom w:val="single" w:color="auto" w:sz="6" w:space="1"/>
      </w:pBdr>
    </w:pPr>
    <w:r>
      <w:t>国家能源集团长源电力股份有限公司2026年半年度报告摘要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compat>
    <w:doNotExpandShiftReturn/>
    <w:useFELayout/>
    <w:compatSetting w:name="compatibilityMode" w:uri="http://schemas.microsoft.com/office/word" w:val="14"/>
  </w:compat>
  <w:rsids>
    <w:rsidRoot w:val="00000000"/>
    <w:rsid w:val="04C045F1"/>
    <w:rsid w:val="16E9384A"/>
    <w:rsid w:val="3C765A30"/>
    <w:rsid w:val="448E0B80"/>
    <w:rsid w:val="4735343C"/>
    <w:rsid w:val="76967E32"/>
    <w:rsid w:val="7C896E69"/>
    <w:rsid w:val="7D79023C"/>
    <w:rsid w:val="7FC226EC"/>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semiHidden="0" w:name="heading 2"/>
    <w:lsdException w:qFormat="1" w:unhideWhenUsed="0" w:uiPriority="99"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39" w:semiHidden="0" w:name="toc 1"/>
    <w:lsdException w:qFormat="1"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left"/>
    </w:pPr>
    <w:rPr>
      <w:rFonts w:ascii="Times New Roman" w:hAnsi="Times New Roman" w:eastAsia="宋体" w:cs="Times New Roman"/>
      <w:sz w:val="21"/>
      <w:szCs w:val="22"/>
    </w:rPr>
  </w:style>
  <w:style w:type="paragraph" w:styleId="2">
    <w:name w:val="heading 2"/>
    <w:basedOn w:val="1"/>
    <w:next w:val="1"/>
    <w:unhideWhenUsed/>
    <w:qFormat/>
    <w:uiPriority w:val="9"/>
    <w:pPr>
      <w:keepNext/>
      <w:keepLines/>
      <w:spacing w:before="156" w:after="156" w:line="240" w:lineRule="auto"/>
      <w:outlineLvl w:val="1"/>
    </w:pPr>
    <w:rPr>
      <w:sz w:val="21"/>
      <w:szCs w:val="21"/>
    </w:rPr>
  </w:style>
  <w:style w:type="paragraph" w:styleId="3">
    <w:name w:val="heading 3"/>
    <w:basedOn w:val="1"/>
    <w:next w:val="1"/>
    <w:qFormat/>
    <w:uiPriority w:val="99"/>
    <w:pPr>
      <w:keepNext/>
      <w:keepLines/>
      <w:spacing w:before="300" w:after="300" w:line="241" w:lineRule="auto"/>
      <w:jc w:val="both"/>
      <w:outlineLvl w:val="2"/>
    </w:pPr>
    <w:rPr>
      <w:rFonts w:eastAsia="宋体"/>
      <w:sz w:val="21"/>
      <w:szCs w:val="21"/>
    </w:rPr>
  </w:style>
  <w:style w:type="character" w:default="1" w:styleId="8">
    <w:name w:val="Default Paragraph Font"/>
    <w:semiHidden/>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4">
    <w:name w:val="toc 1"/>
    <w:basedOn w:val="1"/>
    <w:next w:val="1"/>
    <w:uiPriority w:val="39"/>
  </w:style>
  <w:style w:type="paragraph" w:styleId="5">
    <w:name w:val="toc 2"/>
    <w:basedOn w:val="1"/>
    <w:next w:val="1"/>
    <w:unhideWhenUsed/>
    <w:qFormat/>
    <w:uiPriority w:val="39"/>
    <w:pPr>
      <w:ind w:left="420" w:leftChars="200"/>
    </w:pPr>
  </w:style>
  <w:style w:type="paragraph" w:styleId="6">
    <w:name w:val="Normal (Web)"/>
    <w:basedOn w:val="1"/>
    <w:uiPriority w:val="0"/>
    <w:pPr>
      <w:spacing w:before="0" w:beforeAutospacing="1" w:after="0" w:afterAutospacing="1"/>
      <w:ind w:left="0" w:right="0"/>
      <w:jc w:val="left"/>
    </w:pPr>
    <w:rPr>
      <w:kern w:val="0"/>
      <w:sz w:val="24"/>
      <w:lang w:val="en-US" w:eastAsia="zh-CN" w:bidi="ar"/>
    </w:rPr>
  </w:style>
  <w:style w:type="paragraph" w:customStyle="1" w:styleId="9">
    <w:name w:val="Header 1"/>
    <w:uiPriority w:val="0"/>
    <w:pPr>
      <w:jc w:val="right"/>
    </w:pPr>
    <w:rPr>
      <w:rFonts w:ascii="宋体" w:hAnsi="Times New Roman" w:eastAsia="宋体" w:cs="Times New Roman"/>
      <w:sz w:val="18"/>
      <w:szCs w:val="18"/>
    </w:rPr>
  </w:style>
  <w:style w:type="paragraph" w:customStyle="1" w:styleId="10">
    <w:name w:val="heading h1"/>
    <w:basedOn w:val="1"/>
    <w:next w:val="1"/>
    <w:qFormat/>
    <w:uiPriority w:val="9"/>
    <w:pPr>
      <w:keepNext/>
      <w:keepLines/>
      <w:spacing w:before="240" w:after="240" w:line="578" w:lineRule="auto"/>
      <w:outlineLvl w:val="0"/>
    </w:pPr>
    <w:rPr>
      <w:kern w:val="44"/>
      <w:sz w:val="44"/>
      <w:szCs w:val="44"/>
    </w:rPr>
  </w:style>
  <w:style w:type="paragraph" w:customStyle="1" w:styleId="11">
    <w:name w:val="fotter 1"/>
    <w:qFormat/>
    <w:uiPriority w:val="0"/>
    <w:pPr>
      <w:jc w:val="right"/>
    </w:pPr>
    <w:rPr>
      <w:rFonts w:ascii="宋体" w:hAnsi="Times New Roman" w:eastAsia="宋体" w:cs="Times New Roman"/>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5</Pages>
  <TotalTime>7</TotalTime>
  <ScaleCrop>false</ScaleCrop>
  <LinksUpToDate>false</LinksUpToDate>
  <Application>WPS Office_12.8.2.20324_F1E327BC-269C-435d-A152-05C5408002CA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2026-08-11T06:56:00Z</dcterms:created>
  <dc:creator>Administrator</dc:creator>
  <cp:lastModifiedBy>叶建兵</cp:lastModifiedBy>
  <dcterms:modified xsi:type="dcterms:W3CDTF">2026-08-18T02:37:53Z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2052-12.8.2.20324</vt:lpwstr>
  </property>
  <property fmtid="{D5CDD505-2E9C-101B-9397-08002B2CF9AE}" pid="3" name="ICV">
    <vt:lpwstr>BA7310F2CD6F4885AB8A8AE8C497F0FF_12</vt:lpwstr>
  </property>
</Properties>
</file>