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34F29">
      <w:pPr>
        <w:tabs>
          <w:tab w:val="left" w:pos="993"/>
        </w:tabs>
        <w:autoSpaceDE w:val="0"/>
        <w:autoSpaceDN w:val="0"/>
        <w:adjustRightInd w:val="0"/>
        <w:snapToGrid w:val="0"/>
        <w:spacing w:after="0" w:line="440" w:lineRule="exact"/>
        <w:rPr>
          <w:rFonts w:hint="default" w:ascii="Times New Roman" w:hAnsi="Times New Roman" w:cs="Times New Roman"/>
          <w:color w:val="000000"/>
          <w:sz w:val="24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  <w:szCs w:val="21"/>
          <w:lang w:eastAsia="zh-CN"/>
        </w:rPr>
        <w:t>证券代码：000966</w:t>
      </w:r>
      <w:r>
        <w:rPr>
          <w:rFonts w:hint="default" w:ascii="Times New Roman" w:hAnsi="Times New Roman" w:cs="Times New Roman"/>
          <w:color w:val="000000"/>
          <w:sz w:val="24"/>
          <w:szCs w:val="21"/>
          <w:lang w:eastAsia="zh-CN"/>
        </w:rPr>
        <w:tab/>
      </w:r>
      <w:r>
        <w:rPr>
          <w:rFonts w:hint="default" w:ascii="Times New Roman" w:hAnsi="Times New Roman" w:eastAsia="宋体" w:cs="Times New Roman"/>
          <w:color w:val="000000"/>
          <w:sz w:val="24"/>
          <w:szCs w:val="21"/>
          <w:lang w:eastAsia="zh-CN"/>
        </w:rPr>
        <w:t xml:space="preserve">     </w:t>
      </w:r>
      <w:r>
        <w:rPr>
          <w:rFonts w:hint="default" w:ascii="Times New Roman" w:hAnsi="Times New Roman" w:eastAsia="宋体" w:cs="Times New Roman"/>
          <w:color w:val="000000"/>
          <w:sz w:val="24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1"/>
          <w:lang w:eastAsia="zh-CN"/>
        </w:rPr>
        <w:t xml:space="preserve">   </w:t>
      </w:r>
      <w:r>
        <w:rPr>
          <w:rFonts w:hint="default" w:ascii="Times New Roman" w:hAnsi="Times New Roman" w:cs="Times New Roman"/>
          <w:color w:val="000000"/>
          <w:sz w:val="24"/>
          <w:szCs w:val="21"/>
          <w:lang w:eastAsia="zh-CN"/>
        </w:rPr>
        <w:t>证券简称：长源电力</w:t>
      </w:r>
      <w:r>
        <w:rPr>
          <w:rFonts w:hint="default" w:ascii="Times New Roman" w:hAnsi="Times New Roman" w:eastAsia="宋体" w:cs="Times New Roman"/>
          <w:color w:val="000000"/>
          <w:sz w:val="24"/>
          <w:szCs w:val="21"/>
          <w:lang w:eastAsia="zh-CN"/>
        </w:rPr>
        <w:t xml:space="preserve">     </w:t>
      </w:r>
      <w:r>
        <w:rPr>
          <w:rFonts w:hint="default" w:ascii="Times New Roman" w:hAnsi="Times New Roman" w:eastAsia="宋体" w:cs="Times New Roman"/>
          <w:color w:val="000000"/>
          <w:sz w:val="24"/>
          <w:szCs w:val="21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1"/>
          <w:lang w:eastAsia="zh-CN"/>
        </w:rPr>
        <w:t xml:space="preserve">   </w:t>
      </w:r>
      <w:r>
        <w:rPr>
          <w:rFonts w:hint="default" w:ascii="Times New Roman" w:hAnsi="Times New Roman" w:cs="Times New Roman"/>
          <w:color w:val="000000"/>
          <w:sz w:val="24"/>
          <w:szCs w:val="21"/>
          <w:lang w:eastAsia="zh-CN"/>
        </w:rPr>
        <w:t>公告编号：202</w:t>
      </w:r>
      <w:r>
        <w:rPr>
          <w:rFonts w:hint="eastAsia" w:ascii="Times New Roman" w:hAnsi="Times New Roman" w:cs="Times New Roman"/>
          <w:color w:val="000000"/>
          <w:sz w:val="24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  <w:szCs w:val="21"/>
          <w:lang w:val="en-US" w:eastAsia="zh-CN"/>
        </w:rPr>
        <w:t>-0</w:t>
      </w:r>
      <w:r>
        <w:rPr>
          <w:rFonts w:hint="eastAsia" w:ascii="Times New Roman" w:hAnsi="Times New Roman" w:cs="Times New Roman"/>
          <w:color w:val="000000"/>
          <w:sz w:val="24"/>
          <w:szCs w:val="21"/>
          <w:lang w:val="en-US" w:eastAsia="zh-CN"/>
        </w:rPr>
        <w:t>53</w:t>
      </w:r>
    </w:p>
    <w:p w14:paraId="70D9546B">
      <w:pPr>
        <w:autoSpaceDE w:val="0"/>
        <w:autoSpaceDN w:val="0"/>
        <w:spacing w:after="0" w:line="440" w:lineRule="exact"/>
        <w:contextualSpacing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</w:p>
    <w:p w14:paraId="4824AAD1">
      <w:pPr>
        <w:adjustRightInd w:val="0"/>
        <w:snapToGrid w:val="0"/>
        <w:spacing w:after="0" w:line="44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国家能源集团长源电力股份有限公司</w:t>
      </w:r>
    </w:p>
    <w:p w14:paraId="65659799">
      <w:pPr>
        <w:adjustRightInd w:val="0"/>
        <w:snapToGrid w:val="0"/>
        <w:spacing w:after="0" w:line="44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关于“</w:t>
      </w: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质量回报双提升</w:t>
      </w:r>
      <w:r>
        <w:rPr>
          <w:rFonts w:hint="eastAsia" w:ascii="Times New Roman" w:hAnsi="Times New Roman" w:eastAsia="方正小标宋简体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行动方案实施进展情况</w:t>
      </w:r>
    </w:p>
    <w:p w14:paraId="1DD01662">
      <w:pPr>
        <w:adjustRightInd w:val="0"/>
        <w:snapToGrid w:val="0"/>
        <w:spacing w:after="0" w:line="44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  <w:t>专项评估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的公告</w:t>
      </w:r>
    </w:p>
    <w:p w14:paraId="2A203BF0">
      <w:pPr>
        <w:adjustRightInd w:val="0"/>
        <w:snapToGrid w:val="0"/>
        <w:spacing w:after="0" w:line="44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</w:p>
    <w:tbl>
      <w:tblPr>
        <w:tblStyle w:val="12"/>
        <w:tblW w:w="8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0"/>
      </w:tblGrid>
      <w:tr w14:paraId="59A6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610" w:type="dxa"/>
          </w:tcPr>
          <w:p w14:paraId="4ED0F59F">
            <w:pPr>
              <w:autoSpaceDE w:val="0"/>
              <w:autoSpaceDN w:val="0"/>
              <w:adjustRightInd w:val="0"/>
              <w:snapToGrid w:val="0"/>
              <w:spacing w:line="380" w:lineRule="exact"/>
              <w:ind w:right="-194" w:rightChars="-88" w:firstLine="480" w:firstLineChars="200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8"/>
                <w:lang w:eastAsia="zh-CN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 w14:paraId="553B7541">
      <w:pPr>
        <w:spacing w:line="380" w:lineRule="exact"/>
        <w:contextualSpacing/>
        <w:rPr>
          <w:rFonts w:hint="default" w:ascii="Times New Roman" w:hAnsi="Times New Roman" w:cs="Times New Roman"/>
          <w:b/>
          <w:sz w:val="24"/>
          <w:lang w:eastAsia="zh-CN"/>
        </w:rPr>
      </w:pPr>
    </w:p>
    <w:p w14:paraId="7C3D0F37">
      <w:pPr>
        <w:widowControl/>
        <w:spacing w:after="0" w:line="400" w:lineRule="exact"/>
        <w:ind w:firstLine="480" w:firstLineChars="200"/>
        <w:jc w:val="left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为贯彻落实深圳证券交易所“质量回报双提升”专项行动要求，积极维护公司全体股东利益，增强投资者信心，提高公司质量和投资价值，经公司第十届董事会第三十一次会议审议通过，公司于2025年3月制定了“质量回报双提升”行动方案并完成了信息披露。根据深圳证券交易所《关于深入开展深市公司“质量回报双提升”专项行动的倡议》的相关工作要求，公司应当在年报、半年报披露时对实施进展进行专项评估，作为单独议案提交董事会审议并披露。公司2026年上半年“质量回报双提升”行动方案实施进展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eastAsia="zh-CN"/>
        </w:rPr>
        <w:t>情况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专项评估如下：</w:t>
      </w:r>
    </w:p>
    <w:p w14:paraId="307FC323">
      <w:pPr>
        <w:widowControl/>
        <w:spacing w:after="0" w:line="380" w:lineRule="exact"/>
        <w:ind w:firstLine="482" w:firstLineChars="20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eastAsia="zh-CN"/>
        </w:rPr>
        <w:fldChar w:fldCharType="begin"/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eastAsia="zh-CN"/>
        </w:rPr>
        <w:instrText xml:space="preserve"> DOCVARIABLE 附注一级 \* MERGEFORMAT </w:instrTex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eastAsia="zh-CN"/>
        </w:rPr>
        <w:fldChar w:fldCharType="separate"/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eastAsia="zh-CN"/>
        </w:rPr>
        <w:t>一、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eastAsia="zh-CN"/>
        </w:rPr>
        <w:fldChar w:fldCharType="end"/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eastAsia="zh-CN"/>
        </w:rPr>
        <w:t>聚焦主责主业，高质量发展取得积极进展</w:t>
      </w:r>
    </w:p>
    <w:p w14:paraId="23355CC8">
      <w:pPr>
        <w:widowControl/>
        <w:spacing w:after="0" w:line="380" w:lineRule="exact"/>
        <w:ind w:firstLine="480" w:firstLineChars="2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公司积极应对挑战，保持战略定力，紧扣高质量发展主题，围绕主责主业，坚定不移推动公司做强做优做大。截至2026年6月底，公司可控装机容量1360.25万千瓦，其中火电1031万千瓦，水电57.37万千瓦，光伏243.32万千瓦，风电26.4万千瓦，生物质2.16万千瓦。公司装机容量占湖北全省发电装机容量14270.53万千瓦（含三峡2240万千瓦）的9.53%，公司火电装机容量占湖北全省火电装机容量4599.04万千瓦的22.42%。2026年上半年，公司新增优质煤电装机100万千瓦，加快优质风电项目落地实施，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>进一步优化新能源装机结构。完成发电量169.28亿千瓦时，同比增长1.28%。其中，火电发电量同比增长1.12%；水电发电量同比增长67.28%；风电发电量同比增长5.79%；光伏发电量同比降低26.99%。实现营业收入68.59亿元，同比增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长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3.70%，实现归属上市公司股东的净利润1.73亿元，同比增</w:t>
      </w:r>
      <w:r>
        <w:rPr>
          <w:rFonts w:hint="eastAsia" w:ascii="Times New Roman" w:hAnsi="Times New Roman" w:cs="Times New Roman"/>
          <w:color w:val="auto"/>
          <w:sz w:val="24"/>
          <w:szCs w:val="24"/>
          <w:lang w:eastAsia="zh-CN"/>
        </w:rPr>
        <w:t>长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82.39%。</w:t>
      </w:r>
    </w:p>
    <w:p w14:paraId="187DF8CE">
      <w:pPr>
        <w:widowControl/>
        <w:spacing w:after="0" w:line="380" w:lineRule="exact"/>
        <w:ind w:firstLine="482" w:firstLineChars="20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、强化公司治理，提升规范运作水平</w:t>
      </w:r>
    </w:p>
    <w:p w14:paraId="0F4BEA83">
      <w:pPr>
        <w:widowControl/>
        <w:spacing w:after="0" w:line="380" w:lineRule="exact"/>
        <w:ind w:firstLine="480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2026年上半年，公司认真按照《公司法》《证券法》以及中国证监会、深圳证券交易所有关行政法规和部门规章的要求，不断完善法人治理结构，健全内部控制体系，促进公司规范运作，提高治理水平。扎实推进董事会建设，严格规范会议召开、会议记录及董事会专门委员会运行，强化“三会管理系统”运用，规范审核流程，提高审核效率。更换1名独立董事。公司独立董事严格按照证券监管规定，保持独立，认真履职，召开独立董事专门会议1次，审计与风险委员会会议3次，战略（ESG）委员会会议2次，薪酬与考核委员会会议2次，提名委员会会议1次，充分发挥了独立董事“参与决策、监督制衡、专业咨询”作用，有力维护了公司整体利益，保护了中小股东合法权益。</w:t>
      </w:r>
    </w:p>
    <w:p w14:paraId="5021E0F0">
      <w:pPr>
        <w:widowControl/>
        <w:spacing w:after="0" w:line="380" w:lineRule="exact"/>
        <w:ind w:firstLine="482" w:firstLineChars="20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、提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高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信息披露质量，强化投资者关系管理</w:t>
      </w:r>
    </w:p>
    <w:p w14:paraId="0C8E54FC">
      <w:pPr>
        <w:widowControl/>
        <w:spacing w:after="0" w:line="380" w:lineRule="exact"/>
        <w:ind w:firstLine="480" w:firstLineChars="20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公司严格按照法律法规、中国证监会及深圳证券交易所相关要求，及时履行信息披露义务，不断提高信息披露质量和透明度。2026年上半年，共披露各项公告40条。高度重视与资本市场的沟通，建立健全多元化的投资者沟通机制，通过业绩说明会、电话热线、互动易问答、接待来访等方式保持与投资者的沟通交流。2026年5月15日，成功举办2025年度业绩说明会，7月9日参加湖北辖区上市公司2026年投资者网上集体接待日活动，与投资者进行充分沟通。电话接待投资者120多人次，深交所互动易回答提问68个，积极维护公司良好的资本市场形象，增进了长源电力的市场认同和价值实现。</w:t>
      </w:r>
    </w:p>
    <w:p w14:paraId="79CD5449">
      <w:pPr>
        <w:widowControl/>
        <w:spacing w:after="0" w:line="380" w:lineRule="exact"/>
        <w:ind w:firstLine="482" w:firstLineChars="200"/>
        <w:jc w:val="both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四、以ESG为驱动，助力公司高质量发展</w:t>
      </w:r>
    </w:p>
    <w:p w14:paraId="484D408A">
      <w:pPr>
        <w:widowControl/>
        <w:spacing w:after="0" w:line="380" w:lineRule="exact"/>
        <w:ind w:firstLine="480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公司立足能源电力行业特点和自身实际，不断把ESG理念与公司经营管理相融合。2026年上半年，公司编制并披露2025年度ESG报告，报告全面采用“四支柱框架，系统披露经济绩效、治理绩效、环境绩效和社会绩效四个维度的关键业绩指标150多个，报告首次获得中国企业社会责任报告评级专家委员会五星级（卓越）评价。参与中央企业上市公司环境、社会及治理（ESG）问卷调查和国家绿色基金2025年项目ESG指标收集，持续挖掘公司社会责任和ESG管理特色，充分展现公司在履行社会责任方面的实践和成效。</w:t>
      </w:r>
    </w:p>
    <w:p w14:paraId="1FC93F36">
      <w:pPr>
        <w:widowControl/>
        <w:spacing w:after="0" w:line="380" w:lineRule="exact"/>
        <w:ind w:firstLine="480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展望未来，公司将牢固树立以投资者为本的理念和积极回报股东的意识，聚焦主责主业，强化公司治理和规范运作，不断提高上市公司质量和投资价值，将“质量回报双提升”行动方案落实到位，为增强市场信心、促进资本市场稳健发展贡献力量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eastAsia="zh-CN"/>
        </w:rPr>
        <w:t>。</w:t>
      </w:r>
    </w:p>
    <w:p w14:paraId="5269FE0B">
      <w:pPr>
        <w:widowControl/>
        <w:spacing w:after="0" w:line="380" w:lineRule="exact"/>
        <w:ind w:firstLine="480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</w:pPr>
    </w:p>
    <w:p w14:paraId="1E48E80E">
      <w:pPr>
        <w:widowControl/>
        <w:spacing w:after="0" w:line="380" w:lineRule="exact"/>
        <w:ind w:firstLine="480" w:firstLineChars="20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/>
        </w:rPr>
        <w:t>特此公告。</w:t>
      </w:r>
    </w:p>
    <w:p w14:paraId="1E2185A6">
      <w:pPr>
        <w:spacing w:beforeLines="0" w:after="0" w:line="380" w:lineRule="exact"/>
        <w:contextualSpacing/>
        <w:jc w:val="right"/>
        <w:rPr>
          <w:rFonts w:hint="default" w:ascii="Times New Roman" w:hAnsi="Times New Roman" w:cs="Times New Roman"/>
          <w:sz w:val="24"/>
          <w:lang w:eastAsia="zh-CN"/>
        </w:rPr>
      </w:pPr>
    </w:p>
    <w:p w14:paraId="7037229D">
      <w:pPr>
        <w:spacing w:beforeLines="0" w:after="0" w:line="380" w:lineRule="exact"/>
        <w:contextualSpacing/>
        <w:jc w:val="right"/>
        <w:rPr>
          <w:rFonts w:hint="default" w:ascii="Times New Roman" w:hAnsi="Times New Roman" w:cs="Times New Roman"/>
          <w:sz w:val="24"/>
          <w:lang w:eastAsia="zh-CN"/>
        </w:rPr>
      </w:pPr>
      <w:r>
        <w:rPr>
          <w:rFonts w:hint="default" w:ascii="Times New Roman" w:hAnsi="Times New Roman" w:cs="Times New Roman"/>
          <w:sz w:val="24"/>
          <w:lang w:eastAsia="zh-CN"/>
        </w:rPr>
        <w:t>国家能源集团长源电力股份有限公司董事会</w:t>
      </w:r>
    </w:p>
    <w:p w14:paraId="16E06D9E">
      <w:pPr>
        <w:widowControl/>
        <w:spacing w:beforeLines="0" w:after="0" w:line="380" w:lineRule="exact"/>
        <w:ind w:firstLine="5040" w:firstLineChars="2100"/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202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年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月2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eastAsia="zh-CN"/>
        </w:rPr>
        <w:t>日</w:t>
      </w:r>
    </w:p>
    <w:p w14:paraId="7EB133EA">
      <w:pPr>
        <w:rPr>
          <w:rFonts w:hint="default"/>
          <w:lang w:eastAsia="zh-CN"/>
        </w:rPr>
      </w:pPr>
    </w:p>
    <w:p w14:paraId="1A9721AE">
      <w:pPr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0087316"/>
    </w:sdtPr>
    <w:sdtEndPr>
      <w:rPr>
        <w:rFonts w:ascii="宋体" w:hAnsi="宋体" w:eastAsia="宋体" w:cs="Times New Roman"/>
        <w:sz w:val="21"/>
        <w:szCs w:val="21"/>
      </w:rPr>
    </w:sdtEndPr>
    <w:sdtContent>
      <w:p w14:paraId="33BF86B7">
        <w:pPr>
          <w:pStyle w:val="9"/>
          <w:jc w:val="center"/>
          <w:rPr>
            <w:rFonts w:ascii="宋体" w:hAnsi="宋体" w:eastAsia="宋体" w:cs="Times New Roman"/>
            <w:sz w:val="21"/>
            <w:szCs w:val="21"/>
          </w:rPr>
        </w:pPr>
        <w:r>
          <w:rPr>
            <w:rFonts w:ascii="宋体" w:hAnsi="宋体" w:eastAsia="宋体" w:cs="Times New Roman"/>
            <w:sz w:val="21"/>
            <w:szCs w:val="21"/>
          </w:rPr>
          <w:fldChar w:fldCharType="begin"/>
        </w:r>
        <w:r>
          <w:rPr>
            <w:rFonts w:ascii="宋体" w:hAnsi="宋体" w:eastAsia="宋体" w:cs="Times New Roman"/>
            <w:sz w:val="21"/>
            <w:szCs w:val="21"/>
          </w:rPr>
          <w:instrText xml:space="preserve">PAGE   \* MERGEFORMAT</w:instrText>
        </w:r>
        <w:r>
          <w:rPr>
            <w:rFonts w:ascii="宋体" w:hAnsi="宋体" w:eastAsia="宋体" w:cs="Times New Roman"/>
            <w:sz w:val="21"/>
            <w:szCs w:val="21"/>
          </w:rPr>
          <w:fldChar w:fldCharType="separate"/>
        </w:r>
        <w:r>
          <w:rPr>
            <w:rFonts w:ascii="宋体" w:hAnsi="宋体" w:eastAsia="宋体" w:cs="Times New Roman"/>
            <w:sz w:val="21"/>
            <w:szCs w:val="21"/>
            <w:lang w:val="zh-CN"/>
          </w:rPr>
          <w:t>2</w:t>
        </w:r>
        <w:r>
          <w:rPr>
            <w:rFonts w:ascii="宋体" w:hAnsi="宋体" w:eastAsia="宋体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9B"/>
    <w:rsid w:val="00010584"/>
    <w:rsid w:val="00022527"/>
    <w:rsid w:val="00022842"/>
    <w:rsid w:val="000376CB"/>
    <w:rsid w:val="000A546B"/>
    <w:rsid w:val="000D0A66"/>
    <w:rsid w:val="000D735B"/>
    <w:rsid w:val="000F1145"/>
    <w:rsid w:val="00151EB7"/>
    <w:rsid w:val="001A7350"/>
    <w:rsid w:val="001B7B3D"/>
    <w:rsid w:val="001F0C4D"/>
    <w:rsid w:val="0022476A"/>
    <w:rsid w:val="00235271"/>
    <w:rsid w:val="002537C4"/>
    <w:rsid w:val="002632FB"/>
    <w:rsid w:val="00284CDF"/>
    <w:rsid w:val="002901FC"/>
    <w:rsid w:val="002B2236"/>
    <w:rsid w:val="002C5487"/>
    <w:rsid w:val="002E4F7C"/>
    <w:rsid w:val="002F0F85"/>
    <w:rsid w:val="00307E20"/>
    <w:rsid w:val="003162CF"/>
    <w:rsid w:val="00352AD3"/>
    <w:rsid w:val="00390C52"/>
    <w:rsid w:val="003E4190"/>
    <w:rsid w:val="003E4A6B"/>
    <w:rsid w:val="0040185E"/>
    <w:rsid w:val="00402357"/>
    <w:rsid w:val="00410820"/>
    <w:rsid w:val="004161A8"/>
    <w:rsid w:val="004B6326"/>
    <w:rsid w:val="004C670C"/>
    <w:rsid w:val="004F3B76"/>
    <w:rsid w:val="004F7864"/>
    <w:rsid w:val="00505BD0"/>
    <w:rsid w:val="005477E1"/>
    <w:rsid w:val="00561A93"/>
    <w:rsid w:val="005D35F8"/>
    <w:rsid w:val="005D3757"/>
    <w:rsid w:val="005D6D13"/>
    <w:rsid w:val="005E048B"/>
    <w:rsid w:val="005F405C"/>
    <w:rsid w:val="005F503C"/>
    <w:rsid w:val="006044DA"/>
    <w:rsid w:val="006102B4"/>
    <w:rsid w:val="0062397F"/>
    <w:rsid w:val="00664F9B"/>
    <w:rsid w:val="006813A4"/>
    <w:rsid w:val="006860C0"/>
    <w:rsid w:val="00691252"/>
    <w:rsid w:val="006A485C"/>
    <w:rsid w:val="006A4FF8"/>
    <w:rsid w:val="006D524C"/>
    <w:rsid w:val="006F468C"/>
    <w:rsid w:val="00704994"/>
    <w:rsid w:val="007049A0"/>
    <w:rsid w:val="00704A6C"/>
    <w:rsid w:val="00704FC5"/>
    <w:rsid w:val="00705B79"/>
    <w:rsid w:val="007247DD"/>
    <w:rsid w:val="007675B5"/>
    <w:rsid w:val="00770987"/>
    <w:rsid w:val="007760FE"/>
    <w:rsid w:val="007824D9"/>
    <w:rsid w:val="0078585A"/>
    <w:rsid w:val="00790B2D"/>
    <w:rsid w:val="007E0596"/>
    <w:rsid w:val="008001F7"/>
    <w:rsid w:val="00815B2E"/>
    <w:rsid w:val="008268D9"/>
    <w:rsid w:val="00833FBE"/>
    <w:rsid w:val="008473BC"/>
    <w:rsid w:val="00850E21"/>
    <w:rsid w:val="0088147A"/>
    <w:rsid w:val="00885399"/>
    <w:rsid w:val="00887E55"/>
    <w:rsid w:val="00895178"/>
    <w:rsid w:val="008C1DF9"/>
    <w:rsid w:val="008E07E3"/>
    <w:rsid w:val="008E63AD"/>
    <w:rsid w:val="008E7014"/>
    <w:rsid w:val="008F1E43"/>
    <w:rsid w:val="008F424E"/>
    <w:rsid w:val="008F5FEB"/>
    <w:rsid w:val="00921A75"/>
    <w:rsid w:val="009277DA"/>
    <w:rsid w:val="00950B20"/>
    <w:rsid w:val="00953D36"/>
    <w:rsid w:val="00982434"/>
    <w:rsid w:val="009918B1"/>
    <w:rsid w:val="009D021C"/>
    <w:rsid w:val="009E3D16"/>
    <w:rsid w:val="009F150A"/>
    <w:rsid w:val="009F26E9"/>
    <w:rsid w:val="009F51AB"/>
    <w:rsid w:val="00A040B6"/>
    <w:rsid w:val="00A260EC"/>
    <w:rsid w:val="00A32176"/>
    <w:rsid w:val="00A45CBE"/>
    <w:rsid w:val="00A50E96"/>
    <w:rsid w:val="00A92B96"/>
    <w:rsid w:val="00B016AE"/>
    <w:rsid w:val="00B27B52"/>
    <w:rsid w:val="00B3502C"/>
    <w:rsid w:val="00B471A8"/>
    <w:rsid w:val="00B61289"/>
    <w:rsid w:val="00B61ECD"/>
    <w:rsid w:val="00B74E2D"/>
    <w:rsid w:val="00B75028"/>
    <w:rsid w:val="00BA51BC"/>
    <w:rsid w:val="00BC0BEC"/>
    <w:rsid w:val="00BC44AC"/>
    <w:rsid w:val="00BD6E24"/>
    <w:rsid w:val="00BE2C4E"/>
    <w:rsid w:val="00C108E8"/>
    <w:rsid w:val="00C400CB"/>
    <w:rsid w:val="00C564E0"/>
    <w:rsid w:val="00C733C1"/>
    <w:rsid w:val="00C77889"/>
    <w:rsid w:val="00C82C8F"/>
    <w:rsid w:val="00C91AA6"/>
    <w:rsid w:val="00CD2BD5"/>
    <w:rsid w:val="00CD7AE6"/>
    <w:rsid w:val="00CE0262"/>
    <w:rsid w:val="00CE0A0D"/>
    <w:rsid w:val="00CF3839"/>
    <w:rsid w:val="00D34585"/>
    <w:rsid w:val="00D53021"/>
    <w:rsid w:val="00DD0727"/>
    <w:rsid w:val="00E122EC"/>
    <w:rsid w:val="00E47526"/>
    <w:rsid w:val="00E61507"/>
    <w:rsid w:val="00E620D2"/>
    <w:rsid w:val="00E64857"/>
    <w:rsid w:val="00E77A6C"/>
    <w:rsid w:val="00E92C1D"/>
    <w:rsid w:val="00EC295D"/>
    <w:rsid w:val="00EC29A8"/>
    <w:rsid w:val="00EE0EEB"/>
    <w:rsid w:val="00F06534"/>
    <w:rsid w:val="00F12711"/>
    <w:rsid w:val="00F17D0B"/>
    <w:rsid w:val="00F3019B"/>
    <w:rsid w:val="00F347E9"/>
    <w:rsid w:val="00F41A71"/>
    <w:rsid w:val="00F42485"/>
    <w:rsid w:val="00F55EE2"/>
    <w:rsid w:val="00F5782A"/>
    <w:rsid w:val="00F76611"/>
    <w:rsid w:val="00FC467E"/>
    <w:rsid w:val="00FE1E09"/>
    <w:rsid w:val="08A60726"/>
    <w:rsid w:val="0A6F0772"/>
    <w:rsid w:val="0A967909"/>
    <w:rsid w:val="0A9D03F6"/>
    <w:rsid w:val="0CC8381A"/>
    <w:rsid w:val="0E0C6DFB"/>
    <w:rsid w:val="0F7846D6"/>
    <w:rsid w:val="10912632"/>
    <w:rsid w:val="11535599"/>
    <w:rsid w:val="12A86CCC"/>
    <w:rsid w:val="13D00972"/>
    <w:rsid w:val="197A5773"/>
    <w:rsid w:val="228727F7"/>
    <w:rsid w:val="29055596"/>
    <w:rsid w:val="2AC563B9"/>
    <w:rsid w:val="2BAE5355"/>
    <w:rsid w:val="31A57720"/>
    <w:rsid w:val="337978D0"/>
    <w:rsid w:val="33FD4142"/>
    <w:rsid w:val="35196623"/>
    <w:rsid w:val="361E2979"/>
    <w:rsid w:val="3D127B62"/>
    <w:rsid w:val="412D7255"/>
    <w:rsid w:val="41687867"/>
    <w:rsid w:val="472B4C71"/>
    <w:rsid w:val="47650B90"/>
    <w:rsid w:val="4A8E2781"/>
    <w:rsid w:val="4B9068B1"/>
    <w:rsid w:val="55F37C2F"/>
    <w:rsid w:val="578819FC"/>
    <w:rsid w:val="5921361B"/>
    <w:rsid w:val="5D893E01"/>
    <w:rsid w:val="5DBB6A1A"/>
    <w:rsid w:val="6C1A4F74"/>
    <w:rsid w:val="6E646C62"/>
    <w:rsid w:val="738F3DC3"/>
    <w:rsid w:val="79D123ED"/>
    <w:rsid w:val="7AA0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after="160" w:line="278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7"/>
    <w:qFormat/>
    <w:uiPriority w:val="1"/>
    <w:pPr>
      <w:ind w:left="600"/>
      <w:outlineLvl w:val="0"/>
    </w:pPr>
    <w:rPr>
      <w:rFonts w:ascii="宋体" w:hAnsi="宋体" w:eastAsia="宋体"/>
      <w:b/>
      <w:bCs/>
      <w:sz w:val="26"/>
      <w:szCs w:val="26"/>
    </w:rPr>
  </w:style>
  <w:style w:type="paragraph" w:styleId="2">
    <w:name w:val="heading 3"/>
    <w:basedOn w:val="1"/>
    <w:next w:val="1"/>
    <w:qFormat/>
    <w:uiPriority w:val="0"/>
    <w:pPr>
      <w:keepNext/>
      <w:keepLines/>
      <w:snapToGrid w:val="0"/>
      <w:spacing w:line="560" w:lineRule="exact"/>
      <w:ind w:firstLine="200" w:firstLineChars="200"/>
      <w:outlineLvl w:val="2"/>
    </w:pPr>
    <w:rPr>
      <w:b/>
      <w:sz w:val="30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eastAsia="zh-CN"/>
    </w:rPr>
  </w:style>
  <w:style w:type="paragraph" w:styleId="6">
    <w:name w:val="annotation text"/>
    <w:basedOn w:val="1"/>
    <w:link w:val="20"/>
    <w:semiHidden/>
    <w:unhideWhenUsed/>
    <w:qFormat/>
    <w:uiPriority w:val="99"/>
  </w:style>
  <w:style w:type="paragraph" w:styleId="7">
    <w:name w:val="Body Text"/>
    <w:basedOn w:val="1"/>
    <w:link w:val="18"/>
    <w:qFormat/>
    <w:uiPriority w:val="1"/>
    <w:pPr>
      <w:ind w:left="600"/>
    </w:pPr>
    <w:rPr>
      <w:rFonts w:ascii="宋体" w:hAnsi="宋体" w:eastAsia="宋体"/>
      <w:sz w:val="24"/>
      <w:szCs w:val="24"/>
    </w:rPr>
  </w:style>
  <w:style w:type="paragraph" w:styleId="8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paragraph" w:styleId="11">
    <w:name w:val="Title"/>
    <w:basedOn w:val="3"/>
    <w:next w:val="1"/>
    <w:link w:val="22"/>
    <w:qFormat/>
    <w:uiPriority w:val="0"/>
    <w:pPr>
      <w:spacing w:line="560" w:lineRule="exact"/>
      <w:ind w:left="0"/>
      <w:jc w:val="center"/>
    </w:pPr>
    <w:rPr>
      <w:rFonts w:ascii="方正小标宋简体" w:hAnsi="方正小标宋简体" w:eastAsia="方正小标宋简体" w:cs="方正小标宋简体"/>
      <w:b w:val="0"/>
      <w:bCs w:val="0"/>
      <w:kern w:val="2"/>
      <w:sz w:val="40"/>
      <w:szCs w:val="32"/>
      <w:lang w:eastAsia="zh-CN"/>
    </w:r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3"/>
    <w:qFormat/>
    <w:uiPriority w:val="1"/>
    <w:rPr>
      <w:rFonts w:ascii="宋体" w:hAnsi="宋体" w:eastAsia="宋体"/>
      <w:b/>
      <w:bCs/>
      <w:kern w:val="0"/>
      <w:sz w:val="26"/>
      <w:szCs w:val="26"/>
      <w:lang w:eastAsia="en-US"/>
    </w:rPr>
  </w:style>
  <w:style w:type="character" w:customStyle="1" w:styleId="18">
    <w:name w:val="正文文本 字符"/>
    <w:basedOn w:val="13"/>
    <w:link w:val="7"/>
    <w:qFormat/>
    <w:uiPriority w:val="1"/>
    <w:rPr>
      <w:rFonts w:ascii="宋体" w:hAnsi="宋体" w:eastAsia="宋体"/>
      <w:kern w:val="0"/>
      <w:sz w:val="24"/>
      <w:szCs w:val="24"/>
      <w:lang w:eastAsia="en-US"/>
    </w:rPr>
  </w:style>
  <w:style w:type="character" w:customStyle="1" w:styleId="19">
    <w:name w:val="批注框文本 字符"/>
    <w:basedOn w:val="13"/>
    <w:link w:val="8"/>
    <w:semiHidden/>
    <w:qFormat/>
    <w:uiPriority w:val="99"/>
    <w:rPr>
      <w:kern w:val="0"/>
      <w:sz w:val="18"/>
      <w:szCs w:val="18"/>
      <w:lang w:eastAsia="en-US"/>
    </w:rPr>
  </w:style>
  <w:style w:type="character" w:customStyle="1" w:styleId="20">
    <w:name w:val="批注文字 字符"/>
    <w:basedOn w:val="13"/>
    <w:link w:val="6"/>
    <w:semiHidden/>
    <w:qFormat/>
    <w:uiPriority w:val="99"/>
    <w:rPr>
      <w:kern w:val="0"/>
      <w:sz w:val="22"/>
      <w:lang w:eastAsia="en-US"/>
    </w:rPr>
  </w:style>
  <w:style w:type="paragraph" w:customStyle="1" w:styleId="21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22">
    <w:name w:val="标题 字符"/>
    <w:basedOn w:val="13"/>
    <w:link w:val="11"/>
    <w:qFormat/>
    <w:uiPriority w:val="0"/>
    <w:rPr>
      <w:rFonts w:ascii="方正小标宋简体" w:hAnsi="方正小标宋简体" w:eastAsia="方正小标宋简体" w:cs="方正小标宋简体"/>
      <w:sz w:val="40"/>
      <w:szCs w:val="32"/>
    </w:rPr>
  </w:style>
  <w:style w:type="character" w:customStyle="1" w:styleId="23">
    <w:name w:val="附注二级正文 Char"/>
    <w:link w:val="24"/>
    <w:qFormat/>
    <w:locked/>
    <w:uiPriority w:val="0"/>
    <w:rPr>
      <w:rFonts w:ascii="宋体" w:hAnsi="宋体" w:eastAsia="宋体" w:cs="Times New Roman"/>
      <w:szCs w:val="24"/>
    </w:rPr>
  </w:style>
  <w:style w:type="paragraph" w:customStyle="1" w:styleId="24">
    <w:name w:val="附注二级正文"/>
    <w:basedOn w:val="1"/>
    <w:link w:val="23"/>
    <w:qFormat/>
    <w:uiPriority w:val="0"/>
    <w:pPr>
      <w:adjustRightInd w:val="0"/>
      <w:snapToGrid w:val="0"/>
      <w:spacing w:line="400" w:lineRule="atLeast"/>
      <w:ind w:left="718" w:leftChars="342"/>
      <w:jc w:val="both"/>
    </w:pPr>
    <w:rPr>
      <w:rFonts w:ascii="宋体" w:hAnsi="宋体" w:eastAsia="宋体" w:cs="Times New Roman"/>
      <w:kern w:val="2"/>
      <w:sz w:val="21"/>
      <w:szCs w:val="24"/>
      <w:lang w:eastAsia="zh-CN"/>
    </w:rPr>
  </w:style>
  <w:style w:type="character" w:customStyle="1" w:styleId="25">
    <w:name w:val="附注一级 Char"/>
    <w:link w:val="26"/>
    <w:qFormat/>
    <w:locked/>
    <w:uiPriority w:val="0"/>
    <w:rPr>
      <w:rFonts w:ascii="宋体" w:hAnsi="宋体" w:eastAsia="宋体" w:cs="Times New Roman"/>
      <w:b/>
      <w:szCs w:val="21"/>
      <w:lang w:val="zh-CN"/>
    </w:rPr>
  </w:style>
  <w:style w:type="paragraph" w:customStyle="1" w:styleId="26">
    <w:name w:val="附注一级"/>
    <w:basedOn w:val="1"/>
    <w:link w:val="25"/>
    <w:qFormat/>
    <w:uiPriority w:val="0"/>
    <w:pPr>
      <w:tabs>
        <w:tab w:val="left" w:pos="714"/>
      </w:tabs>
      <w:adjustRightInd w:val="0"/>
      <w:snapToGrid w:val="0"/>
      <w:spacing w:line="400" w:lineRule="atLeast"/>
      <w:jc w:val="both"/>
      <w:outlineLvl w:val="0"/>
    </w:pPr>
    <w:rPr>
      <w:rFonts w:ascii="宋体" w:hAnsi="宋体" w:eastAsia="宋体" w:cs="Times New Roman"/>
      <w:b/>
      <w:kern w:val="2"/>
      <w:sz w:val="21"/>
      <w:szCs w:val="21"/>
      <w:lang w:val="zh-CN" w:eastAsia="zh-CN"/>
    </w:rPr>
  </w:style>
  <w:style w:type="paragraph" w:customStyle="1" w:styleId="27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28">
    <w:name w:val="font21"/>
    <w:basedOn w:val="13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9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41"/>
    <w:basedOn w:val="13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31">
    <w:name w:val="font61"/>
    <w:basedOn w:val="13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589</Words>
  <Characters>3359</Characters>
  <Lines>27</Lines>
  <Paragraphs>7</Paragraphs>
  <TotalTime>15</TotalTime>
  <ScaleCrop>false</ScaleCrop>
  <LinksUpToDate>false</LinksUpToDate>
  <CharactersWithSpaces>3941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2016-12-24T16:02:00Z</dcterms:created>
  <dc:creator>朱正忠</dc:creator>
  <cp:lastModifiedBy>叶建兵</cp:lastModifiedBy>
  <dcterms:modified xsi:type="dcterms:W3CDTF">2026-08-19T07:57:07Z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0A7A569386964F078F9D5857B86EF469</vt:lpwstr>
  </property>
</Properties>
</file>