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6E1E">
      <w:pPr>
        <w:keepNext w:val="0"/>
        <w:keepLines w:val="0"/>
        <w:pageBreakBefore w:val="0"/>
        <w:widowControl w:val="0"/>
        <w:kinsoku/>
        <w:wordWrap/>
        <w:overflowPunct/>
        <w:topLinePunct w:val="0"/>
        <w:autoSpaceDE w:val="0"/>
        <w:autoSpaceDN w:val="0"/>
        <w:bidi w:val="0"/>
        <w:spacing w:line="440" w:lineRule="exact"/>
        <w:contextualSpacing/>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 xml:space="preserve">证券代码：000966         </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 xml:space="preserve">证券简称：长源电力       </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公告编号：</w:t>
      </w:r>
      <w:r>
        <w:rPr>
          <w:rFonts w:hint="default" w:ascii="Times New Roman" w:hAnsi="Times New Roman" w:cs="Times New Roman"/>
          <w:sz w:val="24"/>
          <w:szCs w:val="24"/>
          <w:highlight w:val="none"/>
          <w:lang w:val="en-US" w:eastAsia="zh-CN"/>
        </w:rPr>
        <w:t>202</w:t>
      </w:r>
      <w:r>
        <w:rPr>
          <w:rFonts w:hint="eastAsia" w:cs="Times New Roman"/>
          <w:sz w:val="24"/>
          <w:szCs w:val="24"/>
          <w:highlight w:val="none"/>
          <w:lang w:val="en-US" w:eastAsia="zh-CN"/>
        </w:rPr>
        <w:t>6</w:t>
      </w:r>
      <w:r>
        <w:rPr>
          <w:rFonts w:hint="default" w:ascii="Times New Roman" w:hAnsi="Times New Roman" w:cs="Times New Roman"/>
          <w:sz w:val="24"/>
          <w:szCs w:val="24"/>
          <w:highlight w:val="none"/>
          <w:lang w:val="en-US" w:eastAsia="zh-CN"/>
        </w:rPr>
        <w:t>-0</w:t>
      </w:r>
      <w:r>
        <w:rPr>
          <w:rFonts w:hint="eastAsia" w:cs="Times New Roman"/>
          <w:sz w:val="24"/>
          <w:szCs w:val="24"/>
          <w:highlight w:val="none"/>
          <w:lang w:val="en-US" w:eastAsia="zh-CN"/>
        </w:rPr>
        <w:t>50</w:t>
      </w:r>
      <w:r>
        <w:rPr>
          <w:rFonts w:hint="default" w:ascii="Times New Roman" w:hAnsi="Times New Roman" w:cs="Times New Roman"/>
          <w:sz w:val="24"/>
          <w:szCs w:val="24"/>
          <w:highlight w:val="none"/>
          <w:lang w:val="en-US" w:eastAsia="zh-CN"/>
        </w:rPr>
        <w:t xml:space="preserve">     </w:t>
      </w:r>
    </w:p>
    <w:p w14:paraId="1E67FBA7">
      <w:pPr>
        <w:keepNext w:val="0"/>
        <w:keepLines w:val="0"/>
        <w:pageBreakBefore w:val="0"/>
        <w:widowControl w:val="0"/>
        <w:kinsoku/>
        <w:wordWrap/>
        <w:overflowPunct/>
        <w:topLinePunct w:val="0"/>
        <w:autoSpaceDE w:val="0"/>
        <w:autoSpaceDN w:val="0"/>
        <w:bidi w:val="0"/>
        <w:spacing w:line="440" w:lineRule="exact"/>
        <w:contextualSpacing/>
        <w:jc w:val="center"/>
        <w:textAlignment w:val="auto"/>
        <w:rPr>
          <w:rFonts w:hint="default" w:ascii="Times New Roman" w:hAnsi="Times New Roman" w:eastAsia="方正小标宋简体" w:cs="Times New Roman"/>
          <w:b w:val="0"/>
          <w:bCs w:val="0"/>
          <w:color w:val="000000"/>
          <w:sz w:val="32"/>
          <w:szCs w:val="32"/>
          <w:highlight w:val="none"/>
        </w:rPr>
      </w:pPr>
    </w:p>
    <w:p w14:paraId="6064243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lang w:val="en-US" w:eastAsia="zh-CN"/>
        </w:rPr>
        <w:t>国家能源集团</w:t>
      </w:r>
      <w:r>
        <w:rPr>
          <w:rFonts w:hint="default" w:ascii="Times New Roman" w:hAnsi="Times New Roman" w:eastAsia="方正小标宋简体" w:cs="Times New Roman"/>
          <w:b w:val="0"/>
          <w:bCs w:val="0"/>
          <w:sz w:val="32"/>
          <w:szCs w:val="32"/>
          <w:highlight w:val="none"/>
        </w:rPr>
        <w:t>长源电力股份有限公司</w:t>
      </w:r>
    </w:p>
    <w:p w14:paraId="06293063">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rPr>
        <w:t>关于</w:t>
      </w:r>
      <w:r>
        <w:rPr>
          <w:rFonts w:hint="default" w:ascii="Times New Roman" w:hAnsi="Times New Roman" w:eastAsia="方正小标宋简体" w:cs="Times New Roman"/>
          <w:b w:val="0"/>
          <w:bCs w:val="0"/>
          <w:sz w:val="32"/>
          <w:szCs w:val="32"/>
          <w:highlight w:val="none"/>
          <w:lang w:val="en-US" w:eastAsia="zh-CN"/>
        </w:rPr>
        <w:t>全资</w:t>
      </w:r>
      <w:r>
        <w:rPr>
          <w:rFonts w:hint="default" w:ascii="Times New Roman" w:hAnsi="Times New Roman" w:eastAsia="方正小标宋简体" w:cs="Times New Roman"/>
          <w:b w:val="0"/>
          <w:bCs w:val="0"/>
          <w:sz w:val="32"/>
          <w:szCs w:val="32"/>
          <w:highlight w:val="none"/>
        </w:rPr>
        <w:t>子公司长源电力汉川公司#1-#6机组</w:t>
      </w:r>
      <w:r>
        <w:rPr>
          <w:rFonts w:hint="default" w:ascii="Times New Roman" w:hAnsi="Times New Roman" w:eastAsia="方正小标宋简体" w:cs="Times New Roman"/>
          <w:sz w:val="32"/>
          <w:szCs w:val="32"/>
          <w:highlight w:val="none"/>
        </w:rPr>
        <w:t>电力</w:t>
      </w:r>
      <w:r>
        <w:rPr>
          <w:rFonts w:hint="default" w:ascii="Times New Roman" w:hAnsi="Times New Roman" w:eastAsia="方正小标宋简体" w:cs="Times New Roman"/>
          <w:b w:val="0"/>
          <w:bCs w:val="0"/>
          <w:sz w:val="32"/>
          <w:szCs w:val="32"/>
          <w:highlight w:val="none"/>
        </w:rPr>
        <w:t>监控SIS系统迁入</w:t>
      </w:r>
      <w:r>
        <w:rPr>
          <w:rFonts w:hint="default" w:ascii="Times New Roman" w:hAnsi="Times New Roman" w:eastAsia="方正小标宋简体" w:cs="Times New Roman"/>
          <w:sz w:val="32"/>
          <w:szCs w:val="32"/>
          <w:highlight w:val="none"/>
        </w:rPr>
        <w:t>四期信</w:t>
      </w:r>
      <w:r>
        <w:rPr>
          <w:rFonts w:hint="default" w:ascii="Times New Roman" w:hAnsi="Times New Roman" w:eastAsia="方正小标宋简体" w:cs="Times New Roman"/>
          <w:b w:val="0"/>
          <w:bCs w:val="0"/>
          <w:sz w:val="32"/>
          <w:szCs w:val="32"/>
          <w:highlight w:val="none"/>
        </w:rPr>
        <w:t>创SIS系统服务</w:t>
      </w:r>
      <w:r>
        <w:rPr>
          <w:rFonts w:hint="eastAsia" w:eastAsia="方正小标宋简体" w:cs="Times New Roman"/>
          <w:sz w:val="32"/>
          <w:szCs w:val="32"/>
          <w:highlight w:val="none"/>
          <w:lang w:val="en-US" w:eastAsia="zh-CN"/>
        </w:rPr>
        <w:t>公开招标</w:t>
      </w:r>
      <w:r>
        <w:rPr>
          <w:rFonts w:hint="default" w:ascii="Times New Roman" w:hAnsi="Times New Roman" w:eastAsia="方正小标宋简体" w:cs="Times New Roman"/>
          <w:sz w:val="32"/>
          <w:szCs w:val="32"/>
          <w:highlight w:val="none"/>
        </w:rPr>
        <w:t>关联交易</w:t>
      </w:r>
      <w:r>
        <w:rPr>
          <w:rFonts w:hint="default" w:ascii="Times New Roman" w:hAnsi="Times New Roman" w:eastAsia="方正小标宋简体" w:cs="Times New Roman"/>
          <w:b w:val="0"/>
          <w:bCs w:val="0"/>
          <w:sz w:val="32"/>
          <w:szCs w:val="32"/>
          <w:highlight w:val="none"/>
        </w:rPr>
        <w:t>的</w:t>
      </w:r>
    </w:p>
    <w:p w14:paraId="086351BE">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rPr>
        <w:t>进展公告</w:t>
      </w:r>
    </w:p>
    <w:p w14:paraId="037DBE0E">
      <w:pPr>
        <w:keepNext w:val="0"/>
        <w:keepLines w:val="0"/>
        <w:pageBreakBefore w:val="0"/>
        <w:widowControl w:val="0"/>
        <w:kinsoku/>
        <w:wordWrap/>
        <w:overflowPunct/>
        <w:topLinePunct w:val="0"/>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EE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522" w:type="dxa"/>
            <w:noWrap w:val="0"/>
            <w:vAlign w:val="top"/>
          </w:tcPr>
          <w:p w14:paraId="0E83FA10">
            <w:pPr>
              <w:keepNext w:val="0"/>
              <w:keepLines w:val="0"/>
              <w:pageBreakBefore w:val="0"/>
              <w:widowControl w:val="0"/>
              <w:kinsoku/>
              <w:wordWrap/>
              <w:overflowPunct/>
              <w:topLinePunct w:val="0"/>
              <w:autoSpaceDE w:val="0"/>
              <w:autoSpaceDN w:val="0"/>
              <w:bidi w:val="0"/>
              <w:adjustRightInd w:val="0"/>
              <w:snapToGrid w:val="0"/>
              <w:spacing w:line="380" w:lineRule="exact"/>
              <w:ind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本公司及董事会全体成员保证信息披露的内容真实、准确、完整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没有虚假记载、误导性陈述或重大遗漏。</w:t>
            </w:r>
          </w:p>
        </w:tc>
      </w:tr>
    </w:tbl>
    <w:p w14:paraId="3E8554F1">
      <w:pPr>
        <w:keepNext w:val="0"/>
        <w:keepLines w:val="0"/>
        <w:pageBreakBefore w:val="0"/>
        <w:widowControl w:val="0"/>
        <w:kinsoku/>
        <w:wordWrap/>
        <w:overflowPunct/>
        <w:topLinePunct w:val="0"/>
        <w:bidi w:val="0"/>
        <w:spacing w:line="380" w:lineRule="exact"/>
        <w:contextualSpacing/>
        <w:textAlignment w:val="auto"/>
        <w:rPr>
          <w:rFonts w:hint="default" w:ascii="Times New Roman" w:hAnsi="Times New Roman" w:eastAsia="宋体" w:cs="Times New Roman"/>
          <w:b/>
          <w:sz w:val="24"/>
          <w:highlight w:val="none"/>
        </w:rPr>
      </w:pPr>
    </w:p>
    <w:p w14:paraId="6A400215">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color w:val="000000"/>
          <w:sz w:val="24"/>
          <w:highlight w:val="none"/>
        </w:rPr>
        <w:t>一、关联交易情况概述</w:t>
      </w:r>
    </w:p>
    <w:p w14:paraId="43E10C62">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b/>
          <w:color w:val="auto"/>
          <w:sz w:val="24"/>
          <w:highlight w:val="none"/>
        </w:rPr>
      </w:pPr>
      <w:r>
        <w:rPr>
          <w:rFonts w:hint="default" w:ascii="Times New Roman" w:hAnsi="Times New Roman" w:cs="Times New Roman"/>
          <w:sz w:val="24"/>
          <w:highlight w:val="none"/>
          <w:lang w:val="en-US" w:eastAsia="zh-CN"/>
        </w:rPr>
        <w:t>公司</w:t>
      </w:r>
      <w:r>
        <w:rPr>
          <w:rFonts w:hint="eastAsia" w:ascii="Times New Roman" w:hAnsi="Times New Roman" w:cs="Times New Roman"/>
          <w:sz w:val="24"/>
          <w:highlight w:val="none"/>
          <w:lang w:val="en-US" w:eastAsia="zh-CN"/>
        </w:rPr>
        <w:t>全资</w:t>
      </w:r>
      <w:r>
        <w:rPr>
          <w:rFonts w:hint="default" w:ascii="Times New Roman" w:hAnsi="Times New Roman" w:cs="Times New Roman"/>
          <w:sz w:val="24"/>
          <w:highlight w:val="none"/>
          <w:lang w:val="en-US" w:eastAsia="zh-CN"/>
        </w:rPr>
        <w:t>子公司国能长源</w:t>
      </w:r>
      <w:r>
        <w:rPr>
          <w:rFonts w:hint="eastAsia" w:ascii="Times New Roman" w:hAnsi="Times New Roman" w:cs="Times New Roman"/>
          <w:sz w:val="24"/>
          <w:highlight w:val="none"/>
          <w:lang w:val="en-US" w:eastAsia="zh-CN"/>
        </w:rPr>
        <w:t>汉川发电</w:t>
      </w:r>
      <w:r>
        <w:rPr>
          <w:rFonts w:hint="default" w:ascii="Times New Roman" w:hAnsi="Times New Roman" w:cs="Times New Roman"/>
          <w:sz w:val="24"/>
          <w:highlight w:val="none"/>
          <w:lang w:val="en-US" w:eastAsia="zh-CN"/>
        </w:rPr>
        <w:t>有限公司（以下简称</w:t>
      </w:r>
      <w:r>
        <w:rPr>
          <w:rFonts w:hint="eastAsia" w:ascii="Times New Roman" w:hAnsi="Times New Roman" w:cs="Times New Roman"/>
          <w:sz w:val="24"/>
          <w:highlight w:val="none"/>
          <w:lang w:val="en-US" w:eastAsia="zh-CN"/>
        </w:rPr>
        <w:t>汉川</w:t>
      </w:r>
      <w:r>
        <w:rPr>
          <w:rFonts w:hint="default" w:ascii="Times New Roman" w:hAnsi="Times New Roman" w:cs="Times New Roman"/>
          <w:sz w:val="24"/>
          <w:highlight w:val="none"/>
          <w:lang w:val="en-US" w:eastAsia="zh-CN"/>
        </w:rPr>
        <w:t>公司）经公开招标，确定国能信控技术股份有限公司（以下简称国能信控）</w:t>
      </w:r>
      <w:r>
        <w:rPr>
          <w:rFonts w:hint="default" w:ascii="Times New Roman" w:hAnsi="Times New Roman" w:cs="Times New Roman"/>
          <w:color w:val="auto"/>
          <w:sz w:val="24"/>
          <w:highlight w:val="none"/>
          <w:lang w:val="en-US" w:eastAsia="zh-CN"/>
        </w:rPr>
        <w:t>为长源电力汉川公司</w:t>
      </w:r>
      <w:r>
        <w:rPr>
          <w:rFonts w:hint="default" w:ascii="Times New Roman" w:hAnsi="Times New Roman" w:cs="Times New Roman"/>
          <w:color w:val="auto"/>
          <w:sz w:val="24"/>
          <w:highlight w:val="none"/>
        </w:rPr>
        <w:t>#1-#6机组电力监控SIS系统迁入四期信创SIS系统服务公开招标</w:t>
      </w:r>
      <w:r>
        <w:rPr>
          <w:rFonts w:hint="default" w:ascii="Times New Roman" w:hAnsi="Times New Roman" w:cs="Times New Roman"/>
          <w:color w:val="auto"/>
          <w:sz w:val="24"/>
          <w:highlight w:val="none"/>
          <w:lang w:val="en-US" w:eastAsia="zh-CN"/>
        </w:rPr>
        <w:t>项目的中标方，项目中标金额为</w:t>
      </w:r>
      <w:r>
        <w:rPr>
          <w:rFonts w:hint="default" w:ascii="Times New Roman" w:hAnsi="Times New Roman" w:cs="Times New Roman"/>
          <w:color w:val="auto"/>
          <w:sz w:val="24"/>
          <w:highlight w:val="none"/>
        </w:rPr>
        <w:t>476.176</w:t>
      </w:r>
      <w:r>
        <w:rPr>
          <w:rFonts w:hint="default" w:ascii="Times New Roman" w:hAnsi="Times New Roman" w:cs="Times New Roman"/>
          <w:color w:val="auto"/>
          <w:sz w:val="24"/>
          <w:highlight w:val="none"/>
          <w:lang w:val="en-US" w:eastAsia="zh-CN"/>
        </w:rPr>
        <w:t>万元（具体内容详见公司于202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cs="Times New Roman"/>
          <w:color w:val="auto"/>
          <w:sz w:val="24"/>
          <w:highlight w:val="none"/>
          <w:lang w:val="en-US" w:eastAsia="zh-CN"/>
        </w:rPr>
        <w:t>7</w:t>
      </w:r>
      <w:r>
        <w:rPr>
          <w:rFonts w:hint="default" w:ascii="Times New Roman" w:hAnsi="Times New Roman" w:cs="Times New Roman"/>
          <w:color w:val="auto"/>
          <w:sz w:val="24"/>
          <w:highlight w:val="none"/>
          <w:lang w:val="en-US" w:eastAsia="zh-CN"/>
        </w:rPr>
        <w:t>月</w:t>
      </w:r>
      <w:r>
        <w:rPr>
          <w:rFonts w:hint="eastAsia" w:cs="Times New Roman"/>
          <w:color w:val="auto"/>
          <w:sz w:val="24"/>
          <w:highlight w:val="none"/>
          <w:lang w:val="en-US" w:eastAsia="zh-CN"/>
        </w:rPr>
        <w:t>23</w:t>
      </w:r>
      <w:r>
        <w:rPr>
          <w:rFonts w:hint="default" w:ascii="Times New Roman" w:hAnsi="Times New Roman" w:cs="Times New Roman"/>
          <w:color w:val="auto"/>
          <w:sz w:val="24"/>
          <w:highlight w:val="none"/>
          <w:lang w:val="en-US" w:eastAsia="zh-CN"/>
        </w:rPr>
        <w:t>日在《中国证券报》《证券时报》和巨潮资讯网上披露的《</w:t>
      </w:r>
      <w:r>
        <w:rPr>
          <w:rFonts w:hint="default" w:ascii="Times New Roman" w:hAnsi="Times New Roman" w:cs="Times New Roman"/>
          <w:color w:val="auto"/>
          <w:sz w:val="24"/>
          <w:highlight w:val="none"/>
        </w:rPr>
        <w:t>关于全资子公司长源电力汉川公司#1-#6机组电力监控SIS系统迁入四期信创SIS系统服务</w:t>
      </w:r>
      <w:r>
        <w:rPr>
          <w:rFonts w:hint="eastAsia" w:cs="Times New Roman"/>
          <w:color w:val="auto"/>
          <w:sz w:val="24"/>
          <w:highlight w:val="none"/>
          <w:lang w:val="en-US" w:eastAsia="zh-CN"/>
        </w:rPr>
        <w:t>公开招标</w:t>
      </w:r>
      <w:r>
        <w:rPr>
          <w:rFonts w:hint="default" w:ascii="Times New Roman" w:hAnsi="Times New Roman" w:cs="Times New Roman"/>
          <w:color w:val="auto"/>
          <w:sz w:val="24"/>
          <w:highlight w:val="none"/>
        </w:rPr>
        <w:t>关联交易的公告</w:t>
      </w:r>
      <w:r>
        <w:rPr>
          <w:rFonts w:hint="default" w:ascii="Times New Roman" w:hAnsi="Times New Roman" w:cs="Times New Roman"/>
          <w:color w:val="auto"/>
          <w:sz w:val="24"/>
          <w:highlight w:val="none"/>
          <w:lang w:val="en-US" w:eastAsia="zh-CN"/>
        </w:rPr>
        <w:t>》，公告编号：202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-0</w:t>
      </w:r>
      <w:r>
        <w:rPr>
          <w:rFonts w:hint="eastAsia" w:ascii="Times New Roman" w:hAnsi="Times New Roman" w:cs="Times New Roman"/>
          <w:color w:val="auto"/>
          <w:sz w:val="24"/>
          <w:highlight w:val="none"/>
          <w:lang w:val="en-US" w:eastAsia="zh-CN"/>
        </w:rPr>
        <w:t>47</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w:t>
      </w:r>
    </w:p>
    <w:p w14:paraId="70DCCA0B">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sz w:val="24"/>
          <w:highlight w:val="none"/>
        </w:rPr>
        <w:t>二、关联交易进展情况</w:t>
      </w:r>
    </w:p>
    <w:p w14:paraId="248BF372">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2026年8月11日，汉川公司与国能信控签署了《长源电力汉川发电#1-#6机组电力监控SIS系统迁入四期信创SIS系统服务合同》，其主要内容如下：</w:t>
      </w:r>
    </w:p>
    <w:p w14:paraId="29F0C3B7">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cs="Times New Roman"/>
          <w:bCs/>
          <w:sz w:val="24"/>
          <w:highlight w:val="none"/>
        </w:rPr>
      </w:pPr>
      <w:r>
        <w:rPr>
          <w:rFonts w:hint="default" w:ascii="Times New Roman" w:hAnsi="Times New Roman" w:eastAsia="宋体" w:cs="Times New Roman"/>
          <w:b/>
          <w:sz w:val="24"/>
          <w:highlight w:val="none"/>
        </w:rPr>
        <w:t>1.</w:t>
      </w:r>
      <w:r>
        <w:rPr>
          <w:rFonts w:hint="eastAsia" w:cs="Times New Roman"/>
          <w:b/>
          <w:sz w:val="24"/>
          <w:highlight w:val="none"/>
          <w:lang w:val="en-US" w:eastAsia="zh-CN"/>
        </w:rPr>
        <w:t xml:space="preserve"> </w:t>
      </w:r>
      <w:r>
        <w:rPr>
          <w:rFonts w:hint="default" w:ascii="Times New Roman" w:hAnsi="Times New Roman" w:eastAsia="宋体" w:cs="Times New Roman"/>
          <w:b/>
          <w:sz w:val="24"/>
          <w:highlight w:val="none"/>
        </w:rPr>
        <w:t>合同标的：</w:t>
      </w:r>
      <w:r>
        <w:rPr>
          <w:rFonts w:hint="eastAsia" w:cs="Times New Roman"/>
          <w:b w:val="0"/>
          <w:bCs/>
          <w:sz w:val="24"/>
          <w:highlight w:val="none"/>
          <w:lang w:val="en-US" w:eastAsia="zh-CN"/>
        </w:rPr>
        <w:t>甲方</w:t>
      </w:r>
      <w:r>
        <w:rPr>
          <w:rFonts w:hint="default" w:ascii="Times New Roman" w:hAnsi="Times New Roman" w:cs="Times New Roman"/>
          <w:bCs/>
          <w:sz w:val="24"/>
          <w:highlight w:val="none"/>
        </w:rPr>
        <w:t>（汉川公司，下同）同意</w:t>
      </w:r>
      <w:r>
        <w:rPr>
          <w:rFonts w:hint="eastAsia" w:cs="Times New Roman"/>
          <w:bCs/>
          <w:sz w:val="24"/>
          <w:highlight w:val="none"/>
          <w:lang w:val="en-US" w:eastAsia="zh-CN"/>
        </w:rPr>
        <w:t>乙方</w:t>
      </w:r>
      <w:r>
        <w:rPr>
          <w:rFonts w:hint="default" w:ascii="Times New Roman" w:hAnsi="Times New Roman" w:cs="Times New Roman"/>
          <w:bCs/>
          <w:sz w:val="24"/>
          <w:highlight w:val="none"/>
        </w:rPr>
        <w:t>（国能信控，下同）通过实施长源电力汉川公司#1-#6机组电力监控SIS系统迁入四期信创SIS系统服务，保证#1-#6机组SIS系统符合信创要求。在汉川公司#7、#8机组集成#1-#6机组实现统一管理，实现实时推送、中断警报，大幅提升应急响应速度。</w:t>
      </w:r>
    </w:p>
    <w:p w14:paraId="6E73AF5D">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b/>
          <w:sz w:val="24"/>
          <w:highlight w:val="none"/>
        </w:rPr>
        <w:t>2.</w:t>
      </w:r>
      <w:r>
        <w:rPr>
          <w:rFonts w:hint="eastAsia" w:cs="Times New Roman"/>
          <w:b/>
          <w:sz w:val="24"/>
          <w:highlight w:val="none"/>
          <w:lang w:val="en-US" w:eastAsia="zh-CN"/>
        </w:rPr>
        <w:t xml:space="preserve"> </w:t>
      </w:r>
      <w:r>
        <w:rPr>
          <w:rFonts w:hint="default" w:ascii="Times New Roman" w:hAnsi="Times New Roman" w:eastAsia="宋体" w:cs="Times New Roman"/>
          <w:b/>
          <w:sz w:val="24"/>
          <w:highlight w:val="none"/>
        </w:rPr>
        <w:t>合同价格：</w:t>
      </w:r>
      <w:r>
        <w:rPr>
          <w:rFonts w:hint="default" w:ascii="Times New Roman" w:hAnsi="Times New Roman" w:cs="Times New Roman"/>
          <w:sz w:val="24"/>
          <w:highlight w:val="none"/>
        </w:rPr>
        <w:t>人民币476.176万元。</w:t>
      </w:r>
    </w:p>
    <w:p w14:paraId="7AB73485">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cs="Times New Roman"/>
          <w:bCs/>
          <w:color w:val="auto"/>
          <w:sz w:val="24"/>
          <w:highlight w:val="none"/>
        </w:rPr>
      </w:pPr>
      <w:r>
        <w:rPr>
          <w:rFonts w:hint="default" w:ascii="Times New Roman" w:hAnsi="Times New Roman" w:eastAsia="宋体" w:cs="Times New Roman"/>
          <w:b/>
          <w:color w:val="auto"/>
          <w:sz w:val="24"/>
          <w:highlight w:val="none"/>
        </w:rPr>
        <w:t>3.</w:t>
      </w:r>
      <w:r>
        <w:rPr>
          <w:rFonts w:hint="eastAsia" w:cs="Times New Roman"/>
          <w:b/>
          <w:color w:val="auto"/>
          <w:sz w:val="24"/>
          <w:highlight w:val="none"/>
          <w:lang w:val="en-US" w:eastAsia="zh-CN"/>
        </w:rPr>
        <w:t xml:space="preserve"> </w:t>
      </w:r>
      <w:r>
        <w:rPr>
          <w:rFonts w:hint="default" w:ascii="Times New Roman" w:hAnsi="Times New Roman" w:eastAsia="宋体" w:cs="Times New Roman"/>
          <w:b/>
          <w:color w:val="auto"/>
          <w:sz w:val="24"/>
          <w:highlight w:val="none"/>
        </w:rPr>
        <w:t>付款方式：</w:t>
      </w:r>
    </w:p>
    <w:p w14:paraId="14EEF525">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（1）验收款：项目通过竣工验收合格且乙方提交实际结算金额的增值税专用发票后60日内，甲方向乙方支付项目结算金额97%的款项，剩余3%为质保金；</w:t>
      </w:r>
    </w:p>
    <w:p w14:paraId="241DE27E">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Cs/>
          <w:color w:val="auto"/>
          <w:kern w:val="2"/>
          <w:sz w:val="24"/>
          <w:szCs w:val="24"/>
          <w:highlight w:val="none"/>
          <w:lang w:val="en-US" w:eastAsia="zh-CN" w:bidi="ar-SA"/>
        </w:rPr>
      </w:pPr>
      <w:r>
        <w:rPr>
          <w:rFonts w:hint="default" w:ascii="Times New Roman" w:hAnsi="Times New Roman" w:cs="Times New Roman"/>
          <w:bCs/>
          <w:color w:val="auto"/>
          <w:sz w:val="24"/>
          <w:highlight w:val="none"/>
        </w:rPr>
        <w:t>（2）质保金：竣工验收通过后一年，经过甲方质保验收合格后乙方提出申请，可予以支付剩余质保金。</w:t>
      </w:r>
    </w:p>
    <w:p w14:paraId="5FA2CEC5">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cs="Times New Roman"/>
          <w:bCs/>
          <w:color w:val="auto"/>
          <w:sz w:val="24"/>
          <w:highlight w:val="none"/>
        </w:rPr>
      </w:pPr>
      <w:r>
        <w:rPr>
          <w:rFonts w:hint="default" w:ascii="Times New Roman" w:hAnsi="Times New Roman" w:eastAsia="宋体" w:cs="Times New Roman"/>
          <w:b/>
          <w:color w:val="auto"/>
          <w:sz w:val="24"/>
          <w:highlight w:val="none"/>
        </w:rPr>
        <w:t>4.</w:t>
      </w:r>
      <w:r>
        <w:rPr>
          <w:rFonts w:hint="eastAsia" w:cs="Times New Roman"/>
          <w:b/>
          <w:color w:val="auto"/>
          <w:sz w:val="24"/>
          <w:highlight w:val="none"/>
          <w:lang w:val="en-US" w:eastAsia="zh-CN"/>
        </w:rPr>
        <w:t xml:space="preserve"> </w:t>
      </w:r>
      <w:r>
        <w:rPr>
          <w:rFonts w:hint="default" w:ascii="Times New Roman" w:hAnsi="Times New Roman" w:cs="Times New Roman"/>
          <w:b/>
          <w:color w:val="auto"/>
          <w:sz w:val="24"/>
          <w:highlight w:val="none"/>
          <w:lang w:eastAsia="zh-CN"/>
        </w:rPr>
        <w:t>项目工期</w:t>
      </w:r>
      <w:r>
        <w:rPr>
          <w:rFonts w:hint="default" w:ascii="Times New Roman" w:hAnsi="Times New Roman" w:eastAsia="宋体" w:cs="Times New Roman"/>
          <w:b/>
          <w:color w:val="auto"/>
          <w:sz w:val="24"/>
          <w:highlight w:val="none"/>
        </w:rPr>
        <w:t>：</w:t>
      </w:r>
      <w:bookmarkStart w:id="0" w:name="_Toc29958"/>
      <w:bookmarkStart w:id="1" w:name="_Toc21558"/>
      <w:r>
        <w:rPr>
          <w:rFonts w:hint="default" w:ascii="Times New Roman" w:hAnsi="Times New Roman" w:cs="Times New Roman"/>
          <w:bCs/>
          <w:color w:val="auto"/>
          <w:sz w:val="24"/>
          <w:highlight w:val="none"/>
        </w:rPr>
        <w:t>本</w:t>
      </w:r>
      <w:r>
        <w:rPr>
          <w:rFonts w:hint="eastAsia" w:cs="Times New Roman"/>
          <w:bCs/>
          <w:color w:val="auto"/>
          <w:sz w:val="24"/>
          <w:highlight w:val="none"/>
          <w:lang w:val="en-US" w:eastAsia="zh-CN"/>
        </w:rPr>
        <w:t>项目</w:t>
      </w:r>
      <w:r>
        <w:rPr>
          <w:rFonts w:hint="default" w:ascii="Times New Roman" w:hAnsi="Times New Roman" w:cs="Times New Roman"/>
          <w:bCs/>
          <w:color w:val="auto"/>
          <w:sz w:val="24"/>
          <w:highlight w:val="none"/>
        </w:rPr>
        <w:t>自2026年8月18日开工，2027年3月16日竣工。</w:t>
      </w:r>
      <w:bookmarkEnd w:id="0"/>
      <w:bookmarkEnd w:id="1"/>
    </w:p>
    <w:p w14:paraId="603084B2">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bCs w:val="0"/>
          <w:color w:val="000000"/>
          <w:sz w:val="24"/>
          <w:szCs w:val="24"/>
          <w:highlight w:val="none"/>
          <w:lang w:val="en-US" w:eastAsia="zh-CN"/>
        </w:rPr>
        <w:t>5</w:t>
      </w:r>
      <w:r>
        <w:rPr>
          <w:rFonts w:hint="default" w:ascii="Times New Roman" w:hAnsi="Times New Roman" w:eastAsia="宋体" w:cs="Times New Roman"/>
          <w:b/>
          <w:sz w:val="24"/>
          <w:highlight w:val="none"/>
        </w:rPr>
        <w:t>.</w:t>
      </w:r>
      <w:r>
        <w:rPr>
          <w:rFonts w:hint="eastAsia" w:cs="Times New Roman"/>
          <w:b/>
          <w:sz w:val="24"/>
          <w:highlight w:val="none"/>
          <w:lang w:val="en-US" w:eastAsia="zh-CN"/>
        </w:rPr>
        <w:t xml:space="preserve"> </w:t>
      </w:r>
      <w:r>
        <w:rPr>
          <w:rFonts w:hint="default" w:ascii="Times New Roman" w:hAnsi="Times New Roman" w:eastAsia="宋体" w:cs="Times New Roman"/>
          <w:b/>
          <w:color w:val="auto"/>
          <w:sz w:val="24"/>
          <w:highlight w:val="none"/>
        </w:rPr>
        <w:t>主要违约责任：</w:t>
      </w:r>
    </w:p>
    <w:p w14:paraId="08A073B8">
      <w:pPr>
        <w:keepNext w:val="0"/>
        <w:spacing w:line="3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（1）因乙方原因导致其未能按合同进度要求开展相关工作，经甲方提示后仍未改进的，甲方有权解除合同，乙方应当返还已收取的合同价款，并支付合同价款5 %的违约金。</w:t>
      </w:r>
    </w:p>
    <w:p w14:paraId="3053ED38">
      <w:pPr>
        <w:keepNext w:val="0"/>
        <w:spacing w:line="3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2）因乙方原因导致其未能按照合同约定日期提交阶段性或最终项目交付成果的，每逾期一日，应支付合同价款0.03%的违约金；乙方逾期60天以上未提交项目交付成果的，甲方有权解除合同，且乙方应当返还已收取的合同价款。</w:t>
      </w:r>
    </w:p>
    <w:p w14:paraId="691142A3">
      <w:pPr>
        <w:keepNext w:val="0"/>
        <w:spacing w:line="3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（3）未经甲方书面同意，乙方擅自更换项目经理的，每发生一人次，应向甲方支付相当于合同总价1%的违约金；乙方擅自更换主要开发人员的，每发生一人次，应向甲方支付相当于合同总价0.5%的违约金。</w:t>
      </w:r>
    </w:p>
    <w:p w14:paraId="5744584F">
      <w:pPr>
        <w:keepNext w:val="0"/>
        <w:spacing w:line="380" w:lineRule="exact"/>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（4）乙方擅自对合同工作进行转包或分包的，每发生一次，应向甲方支付违约金50000元，且甲方有权要求乙方解除转包或分包合同。</w:t>
      </w:r>
    </w:p>
    <w:p w14:paraId="1F3E7D60">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cs="Times New Roman"/>
          <w:bCs/>
          <w:color w:val="000000"/>
          <w:sz w:val="24"/>
          <w:szCs w:val="24"/>
          <w:highlight w:val="none"/>
          <w:lang w:eastAsia="zh-CN"/>
        </w:rPr>
      </w:pPr>
      <w:r>
        <w:rPr>
          <w:rFonts w:hint="default" w:ascii="Times New Roman" w:hAnsi="Times New Roman" w:eastAsia="宋体" w:cs="Times New Roman"/>
          <w:b/>
          <w:color w:val="auto"/>
          <w:sz w:val="24"/>
          <w:highlight w:val="none"/>
          <w:lang w:val="en-US" w:eastAsia="zh-CN"/>
        </w:rPr>
        <w:t>6</w:t>
      </w:r>
      <w:r>
        <w:rPr>
          <w:rFonts w:hint="default" w:ascii="Times New Roman" w:hAnsi="Times New Roman" w:eastAsia="宋体" w:cs="Times New Roman"/>
          <w:b/>
          <w:sz w:val="24"/>
          <w:highlight w:val="none"/>
        </w:rPr>
        <w:t>.</w:t>
      </w:r>
      <w:r>
        <w:rPr>
          <w:rFonts w:hint="eastAsia" w:cs="Times New Roman"/>
          <w:b/>
          <w:sz w:val="24"/>
          <w:highlight w:val="none"/>
          <w:lang w:val="en-US" w:eastAsia="zh-CN"/>
        </w:rPr>
        <w:t xml:space="preserve"> </w:t>
      </w:r>
      <w:r>
        <w:rPr>
          <w:rFonts w:hint="default" w:ascii="Times New Roman" w:hAnsi="Times New Roman" w:eastAsia="宋体" w:cs="Times New Roman"/>
          <w:b/>
          <w:sz w:val="24"/>
          <w:highlight w:val="none"/>
        </w:rPr>
        <w:t>争议解决：</w:t>
      </w:r>
      <w:r>
        <w:rPr>
          <w:rFonts w:hint="default" w:ascii="Times New Roman" w:hAnsi="Times New Roman" w:cs="Times New Roman"/>
          <w:bCs/>
          <w:sz w:val="24"/>
          <w:highlight w:val="none"/>
        </w:rPr>
        <w:t>因本合同引起的或与本合同有关的任何争议，双方可通过友好协商解决。友好协商解决不成的，可向发包人所在地人民法院起诉。</w:t>
      </w:r>
    </w:p>
    <w:p w14:paraId="62AF5A4F">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color w:val="000000"/>
          <w:sz w:val="24"/>
          <w:highlight w:val="none"/>
          <w:lang w:val="en-US" w:eastAsia="zh-CN"/>
        </w:rPr>
        <w:t>7</w:t>
      </w:r>
      <w:r>
        <w:rPr>
          <w:rFonts w:hint="default" w:ascii="Times New Roman" w:hAnsi="Times New Roman" w:eastAsia="宋体" w:cs="Times New Roman"/>
          <w:b/>
          <w:sz w:val="24"/>
          <w:highlight w:val="none"/>
        </w:rPr>
        <w:t>.</w:t>
      </w:r>
      <w:r>
        <w:rPr>
          <w:rFonts w:hint="eastAsia" w:cs="Times New Roman"/>
          <w:b/>
          <w:sz w:val="24"/>
          <w:highlight w:val="none"/>
          <w:lang w:val="en-US" w:eastAsia="zh-CN"/>
        </w:rPr>
        <w:t xml:space="preserve"> </w:t>
      </w:r>
      <w:r>
        <w:rPr>
          <w:rFonts w:hint="default" w:ascii="Times New Roman" w:hAnsi="Times New Roman" w:eastAsia="宋体" w:cs="Times New Roman"/>
          <w:b/>
          <w:color w:val="auto"/>
          <w:sz w:val="24"/>
          <w:highlight w:val="none"/>
        </w:rPr>
        <w:t>生效条款：</w:t>
      </w:r>
      <w:r>
        <w:rPr>
          <w:rFonts w:hint="default" w:ascii="Times New Roman" w:hAnsi="Times New Roman" w:cs="Times New Roman"/>
          <w:bCs/>
          <w:sz w:val="24"/>
          <w:highlight w:val="none"/>
        </w:rPr>
        <w:t>本协议书自双方签订之日起生效，至双方义务按照约定履行完成，合同自动终止</w:t>
      </w:r>
    </w:p>
    <w:p w14:paraId="7D4E24C0">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除上述条款外</w:t>
      </w:r>
      <w:r>
        <w:rPr>
          <w:rFonts w:hint="default" w:ascii="Times New Roman" w:hAnsi="Times New Roman" w:cs="Times New Roman"/>
          <w:sz w:val="24"/>
          <w:highlight w:val="none"/>
          <w:lang w:eastAsia="zh-CN"/>
        </w:rPr>
        <w:t>，</w:t>
      </w:r>
      <w:r>
        <w:rPr>
          <w:rFonts w:hint="default" w:ascii="Times New Roman" w:hAnsi="Times New Roman" w:eastAsia="宋体" w:cs="Times New Roman"/>
          <w:sz w:val="24"/>
          <w:highlight w:val="none"/>
        </w:rPr>
        <w:t>该合同无其他重要条款。</w:t>
      </w:r>
    </w:p>
    <w:p w14:paraId="50D33D00">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sz w:val="24"/>
          <w:highlight w:val="none"/>
        </w:rPr>
      </w:pPr>
      <w:r>
        <w:rPr>
          <w:rFonts w:hint="default" w:ascii="Times New Roman" w:hAnsi="Times New Roman" w:eastAsia="宋体" w:cs="Times New Roman"/>
          <w:b/>
          <w:sz w:val="24"/>
          <w:highlight w:val="none"/>
        </w:rPr>
        <w:t>三、其他</w:t>
      </w:r>
    </w:p>
    <w:p w14:paraId="1B3DA442">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公司将就上述</w:t>
      </w:r>
      <w:r>
        <w:rPr>
          <w:rFonts w:hint="default" w:ascii="Times New Roman" w:hAnsi="Times New Roman" w:eastAsia="宋体" w:cs="Times New Roman"/>
          <w:sz w:val="24"/>
          <w:highlight w:val="none"/>
          <w:lang w:eastAsia="zh-CN"/>
        </w:rPr>
        <w:t>关联交易</w:t>
      </w:r>
      <w:r>
        <w:rPr>
          <w:rFonts w:hint="default" w:ascii="Times New Roman" w:hAnsi="Times New Roman" w:eastAsia="宋体" w:cs="Times New Roman"/>
          <w:sz w:val="24"/>
          <w:highlight w:val="none"/>
        </w:rPr>
        <w:t>进展情况履行持续信息披露义务。</w:t>
      </w:r>
    </w:p>
    <w:p w14:paraId="32EECE06">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sz w:val="24"/>
          <w:highlight w:val="none"/>
        </w:rPr>
      </w:pPr>
      <w:r>
        <w:rPr>
          <w:rFonts w:hint="default" w:ascii="Times New Roman" w:hAnsi="Times New Roman" w:eastAsia="宋体" w:cs="Times New Roman"/>
          <w:b/>
          <w:sz w:val="24"/>
          <w:highlight w:val="none"/>
        </w:rPr>
        <w:t>四、备查文件</w:t>
      </w:r>
    </w:p>
    <w:p w14:paraId="3D4C04C4">
      <w:pPr>
        <w:keepNext w:val="0"/>
        <w:keepLines w:val="0"/>
        <w:pageBreakBefore w:val="0"/>
        <w:widowControl/>
        <w:kinsoku/>
        <w:wordWrap/>
        <w:overflowPunct/>
        <w:topLinePunct w:val="0"/>
        <w:autoSpaceDE/>
        <w:autoSpaceDN/>
        <w:bidi w:val="0"/>
        <w:adjustRightInd/>
        <w:snapToGrid/>
        <w:spacing w:line="380" w:lineRule="exact"/>
        <w:ind w:firstLine="480" w:firstLineChars="200"/>
        <w:jc w:val="both"/>
        <w:textAlignment w:val="auto"/>
        <w:rPr>
          <w:rFonts w:hint="default" w:ascii="Times New Roman" w:hAnsi="Times New Roman" w:eastAsia="宋体" w:cs="Times New Roman"/>
          <w:sz w:val="24"/>
          <w:highlight w:val="none"/>
        </w:rPr>
      </w:pPr>
      <w:r>
        <w:rPr>
          <w:rFonts w:hint="default" w:ascii="Times New Roman" w:hAnsi="Times New Roman" w:cs="Times New Roman"/>
          <w:sz w:val="24"/>
          <w:highlight w:val="none"/>
        </w:rPr>
        <w:t>《长源电力汉川发电#1-#6机组电力监控SIS系统迁入四期信创SIS系统服务合同》。</w:t>
      </w:r>
    </w:p>
    <w:p w14:paraId="47F1915F">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color w:val="auto"/>
          <w:sz w:val="24"/>
          <w:highlight w:val="none"/>
        </w:rPr>
      </w:pPr>
    </w:p>
    <w:p w14:paraId="3601F00D">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特此公告</w:t>
      </w:r>
      <w:r>
        <w:rPr>
          <w:rFonts w:hint="default" w:ascii="Times New Roman" w:hAnsi="Times New Roman" w:eastAsia="宋体" w:cs="Times New Roman"/>
          <w:color w:val="auto"/>
          <w:sz w:val="24"/>
          <w:highlight w:val="none"/>
          <w:lang w:eastAsia="zh-CN"/>
        </w:rPr>
        <w:t>。</w:t>
      </w:r>
    </w:p>
    <w:p w14:paraId="458D5E85">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jc w:val="right"/>
        <w:textAlignment w:val="auto"/>
        <w:rPr>
          <w:rFonts w:hint="default" w:ascii="Times New Roman" w:hAnsi="Times New Roman" w:cs="Times New Roman"/>
          <w:color w:val="auto"/>
          <w:sz w:val="24"/>
          <w:highlight w:val="none"/>
          <w:lang w:val="en-US" w:eastAsia="zh-CN"/>
        </w:rPr>
      </w:pPr>
      <w:bookmarkStart w:id="2" w:name="_GoBack"/>
      <w:bookmarkEnd w:id="2"/>
    </w:p>
    <w:p w14:paraId="66FFA5C1">
      <w:pPr>
        <w:keepNext w:val="0"/>
        <w:keepLines w:val="0"/>
        <w:pageBreakBefore w:val="0"/>
        <w:widowControl w:val="0"/>
        <w:kinsoku/>
        <w:wordWrap/>
        <w:overflowPunct/>
        <w:topLinePunct w:val="0"/>
        <w:autoSpaceDE/>
        <w:autoSpaceDN/>
        <w:bidi w:val="0"/>
        <w:adjustRightInd/>
        <w:snapToGrid/>
        <w:spacing w:line="380" w:lineRule="exact"/>
        <w:contextualSpacing/>
        <w:jc w:val="right"/>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国家能源集团</w:t>
      </w:r>
      <w:r>
        <w:rPr>
          <w:rFonts w:hint="default" w:ascii="Times New Roman" w:hAnsi="Times New Roman" w:eastAsia="宋体" w:cs="Times New Roman"/>
          <w:color w:val="auto"/>
          <w:sz w:val="24"/>
          <w:highlight w:val="none"/>
        </w:rPr>
        <w:t>长源电力股份有限公司董事会</w:t>
      </w:r>
    </w:p>
    <w:p w14:paraId="508F34FA">
      <w:pPr>
        <w:keepNext w:val="0"/>
        <w:keepLines w:val="0"/>
        <w:pageBreakBefore w:val="0"/>
        <w:widowControl w:val="0"/>
        <w:kinsoku/>
        <w:wordWrap w:val="0"/>
        <w:overflowPunct/>
        <w:topLinePunct w:val="0"/>
        <w:autoSpaceDE/>
        <w:autoSpaceDN/>
        <w:bidi w:val="0"/>
        <w:adjustRightInd/>
        <w:snapToGrid/>
        <w:spacing w:line="380" w:lineRule="exact"/>
        <w:ind w:right="720" w:firstLine="480" w:firstLineChars="200"/>
        <w:contextualSpacing/>
        <w:jc w:val="center"/>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20</w:t>
      </w:r>
      <w:r>
        <w:rPr>
          <w:rFonts w:hint="default"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rPr>
        <w:t>年</w:t>
      </w:r>
      <w:r>
        <w:rPr>
          <w:rFonts w:hint="eastAsia" w:ascii="Times New Roman" w:hAnsi="Times New Roman" w:cs="Times New Roman"/>
          <w:color w:val="auto"/>
          <w:sz w:val="24"/>
          <w:highlight w:val="none"/>
          <w:lang w:val="en-US" w:eastAsia="zh-CN"/>
        </w:rPr>
        <w:t>8</w:t>
      </w:r>
      <w:r>
        <w:rPr>
          <w:rStyle w:val="13"/>
          <w:rFonts w:ascii="Times New Roman" w:hAnsi="Times New Roman" w:eastAsia="宋体" w:cs="Times New Roman"/>
          <w:b w:val="0"/>
          <w:i w:val="0"/>
          <w:caps w:val="0"/>
          <w:color w:val="auto"/>
          <w:spacing w:val="0"/>
          <w:w w:val="100"/>
          <w:kern w:val="2"/>
          <w:sz w:val="24"/>
          <w:szCs w:val="24"/>
          <w:highlight w:val="none"/>
          <w:lang w:val="en-US" w:eastAsia="zh-CN" w:bidi="ar-SA"/>
        </w:rPr>
        <w:t>月</w:t>
      </w:r>
      <w:r>
        <w:rPr>
          <w:rStyle w:val="13"/>
          <w:rFonts w:hint="eastAsia" w:ascii="Times New Roman" w:hAnsi="Times New Roman" w:cs="Times New Roman"/>
          <w:b w:val="0"/>
          <w:i w:val="0"/>
          <w:caps w:val="0"/>
          <w:color w:val="auto"/>
          <w:spacing w:val="0"/>
          <w:w w:val="100"/>
          <w:kern w:val="2"/>
          <w:sz w:val="24"/>
          <w:szCs w:val="24"/>
          <w:highlight w:val="none"/>
          <w:lang w:val="en-US" w:eastAsia="zh-CN" w:bidi="ar-SA"/>
        </w:rPr>
        <w:t>1</w:t>
      </w:r>
      <w:r>
        <w:rPr>
          <w:rStyle w:val="13"/>
          <w:rFonts w:hint="eastAsia" w:cs="Times New Roman"/>
          <w:b w:val="0"/>
          <w:i w:val="0"/>
          <w:caps w:val="0"/>
          <w:color w:val="auto"/>
          <w:spacing w:val="0"/>
          <w:w w:val="100"/>
          <w:kern w:val="2"/>
          <w:sz w:val="24"/>
          <w:szCs w:val="24"/>
          <w:highlight w:val="none"/>
          <w:lang w:val="en-US" w:eastAsia="zh-CN" w:bidi="ar-SA"/>
        </w:rPr>
        <w:t>4</w:t>
      </w:r>
      <w:r>
        <w:rPr>
          <w:rStyle w:val="13"/>
          <w:rFonts w:ascii="Times New Roman" w:hAnsi="Times New Roman" w:eastAsia="宋体" w:cs="Times New Roman"/>
          <w:b w:val="0"/>
          <w:i w:val="0"/>
          <w:caps w:val="0"/>
          <w:color w:val="auto"/>
          <w:spacing w:val="0"/>
          <w:w w:val="100"/>
          <w:kern w:val="2"/>
          <w:sz w:val="24"/>
          <w:szCs w:val="24"/>
          <w:highlight w:val="none"/>
          <w:lang w:val="en-US" w:eastAsia="zh-CN" w:bidi="ar-SA"/>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embedRegular r:id="rId1" w:fontKey="{6F5F88E7-DBCA-4568-AD58-228A89E481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5FC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A071F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BA071F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38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EF6"/>
    <w:rsid w:val="000F30F8"/>
    <w:rsid w:val="001C15AA"/>
    <w:rsid w:val="002E6CA0"/>
    <w:rsid w:val="00373A1F"/>
    <w:rsid w:val="003778AF"/>
    <w:rsid w:val="003B228D"/>
    <w:rsid w:val="00407C6C"/>
    <w:rsid w:val="004545AE"/>
    <w:rsid w:val="00470A7F"/>
    <w:rsid w:val="004E0002"/>
    <w:rsid w:val="00595E78"/>
    <w:rsid w:val="005A6B7D"/>
    <w:rsid w:val="006D7D45"/>
    <w:rsid w:val="0079402C"/>
    <w:rsid w:val="007F305A"/>
    <w:rsid w:val="00817009"/>
    <w:rsid w:val="00921479"/>
    <w:rsid w:val="00A52865"/>
    <w:rsid w:val="00A924DF"/>
    <w:rsid w:val="00B84E75"/>
    <w:rsid w:val="00BF3796"/>
    <w:rsid w:val="00CE065F"/>
    <w:rsid w:val="00D63EF6"/>
    <w:rsid w:val="00D7425F"/>
    <w:rsid w:val="00D9102A"/>
    <w:rsid w:val="00DB4F04"/>
    <w:rsid w:val="00F32491"/>
    <w:rsid w:val="00F83ED7"/>
    <w:rsid w:val="01847163"/>
    <w:rsid w:val="023725B8"/>
    <w:rsid w:val="02571FE0"/>
    <w:rsid w:val="02850B5D"/>
    <w:rsid w:val="03370CBA"/>
    <w:rsid w:val="034B303A"/>
    <w:rsid w:val="04B00789"/>
    <w:rsid w:val="04B44541"/>
    <w:rsid w:val="04FA383D"/>
    <w:rsid w:val="05D809E9"/>
    <w:rsid w:val="066E3B10"/>
    <w:rsid w:val="067F60FA"/>
    <w:rsid w:val="077E2E7E"/>
    <w:rsid w:val="07C70113"/>
    <w:rsid w:val="086F7974"/>
    <w:rsid w:val="08A406AF"/>
    <w:rsid w:val="09323FCD"/>
    <w:rsid w:val="09AE1421"/>
    <w:rsid w:val="0A2D568A"/>
    <w:rsid w:val="0AAC5185"/>
    <w:rsid w:val="0AF01E65"/>
    <w:rsid w:val="0B994DFD"/>
    <w:rsid w:val="0C184B7D"/>
    <w:rsid w:val="0C1B3EAE"/>
    <w:rsid w:val="0D084DED"/>
    <w:rsid w:val="0D2E27CF"/>
    <w:rsid w:val="0D46297E"/>
    <w:rsid w:val="0D5C0FB9"/>
    <w:rsid w:val="0DBB2F7A"/>
    <w:rsid w:val="0E684593"/>
    <w:rsid w:val="0E911F74"/>
    <w:rsid w:val="0E962AA0"/>
    <w:rsid w:val="0FEA2997"/>
    <w:rsid w:val="0FFB705A"/>
    <w:rsid w:val="10920CD9"/>
    <w:rsid w:val="10983875"/>
    <w:rsid w:val="11027747"/>
    <w:rsid w:val="11A73575"/>
    <w:rsid w:val="11B45EC1"/>
    <w:rsid w:val="123965B1"/>
    <w:rsid w:val="13E739D1"/>
    <w:rsid w:val="14167D16"/>
    <w:rsid w:val="145E2EF2"/>
    <w:rsid w:val="148B4534"/>
    <w:rsid w:val="14F57730"/>
    <w:rsid w:val="15341261"/>
    <w:rsid w:val="164D238A"/>
    <w:rsid w:val="16533EB7"/>
    <w:rsid w:val="165828EF"/>
    <w:rsid w:val="17684130"/>
    <w:rsid w:val="19A53246"/>
    <w:rsid w:val="1A8758C6"/>
    <w:rsid w:val="1BBE6A14"/>
    <w:rsid w:val="1C413D52"/>
    <w:rsid w:val="1C6C10A3"/>
    <w:rsid w:val="1CCF3871"/>
    <w:rsid w:val="1D343268"/>
    <w:rsid w:val="1D8031C5"/>
    <w:rsid w:val="1D8A04E4"/>
    <w:rsid w:val="1DCF4CBB"/>
    <w:rsid w:val="1F17118D"/>
    <w:rsid w:val="1F370C66"/>
    <w:rsid w:val="1FAA02F5"/>
    <w:rsid w:val="202B2ACC"/>
    <w:rsid w:val="2127452F"/>
    <w:rsid w:val="213C3477"/>
    <w:rsid w:val="21693339"/>
    <w:rsid w:val="21DC53F3"/>
    <w:rsid w:val="225D5261"/>
    <w:rsid w:val="23282516"/>
    <w:rsid w:val="23745A4C"/>
    <w:rsid w:val="23C4535E"/>
    <w:rsid w:val="23D61C16"/>
    <w:rsid w:val="24224C9F"/>
    <w:rsid w:val="257B7CF7"/>
    <w:rsid w:val="25BE7593"/>
    <w:rsid w:val="25D43215"/>
    <w:rsid w:val="25EE7CCC"/>
    <w:rsid w:val="27AB58AB"/>
    <w:rsid w:val="286B4324"/>
    <w:rsid w:val="28B31693"/>
    <w:rsid w:val="29101019"/>
    <w:rsid w:val="297B3918"/>
    <w:rsid w:val="2B822930"/>
    <w:rsid w:val="2C592D4D"/>
    <w:rsid w:val="2C947B3E"/>
    <w:rsid w:val="2D5E008A"/>
    <w:rsid w:val="2D7A7C75"/>
    <w:rsid w:val="2D8E4BA3"/>
    <w:rsid w:val="2DDF5ABD"/>
    <w:rsid w:val="2E0400E8"/>
    <w:rsid w:val="2E1D720D"/>
    <w:rsid w:val="2E995860"/>
    <w:rsid w:val="2F247A39"/>
    <w:rsid w:val="2F8A3921"/>
    <w:rsid w:val="31FB26BA"/>
    <w:rsid w:val="327A777C"/>
    <w:rsid w:val="344B3C1C"/>
    <w:rsid w:val="35365E24"/>
    <w:rsid w:val="35D77C6B"/>
    <w:rsid w:val="35DF77AE"/>
    <w:rsid w:val="362071A0"/>
    <w:rsid w:val="366A1588"/>
    <w:rsid w:val="37EF36CD"/>
    <w:rsid w:val="380F3FA1"/>
    <w:rsid w:val="39340E42"/>
    <w:rsid w:val="399519D3"/>
    <w:rsid w:val="39AF3A8F"/>
    <w:rsid w:val="3A873ADF"/>
    <w:rsid w:val="3A967DE1"/>
    <w:rsid w:val="3B183CB9"/>
    <w:rsid w:val="3C0B2291"/>
    <w:rsid w:val="3C707F3D"/>
    <w:rsid w:val="3CB95051"/>
    <w:rsid w:val="3CF30804"/>
    <w:rsid w:val="3CF82890"/>
    <w:rsid w:val="3EE828F3"/>
    <w:rsid w:val="3FD42855"/>
    <w:rsid w:val="400740FE"/>
    <w:rsid w:val="40334637"/>
    <w:rsid w:val="406F75DF"/>
    <w:rsid w:val="416D4F0B"/>
    <w:rsid w:val="423A2B70"/>
    <w:rsid w:val="42CB1B73"/>
    <w:rsid w:val="43B21A83"/>
    <w:rsid w:val="449A40BC"/>
    <w:rsid w:val="44B04514"/>
    <w:rsid w:val="44E56EC9"/>
    <w:rsid w:val="45EB2751"/>
    <w:rsid w:val="46F465FE"/>
    <w:rsid w:val="47D64D04"/>
    <w:rsid w:val="47E83287"/>
    <w:rsid w:val="49A3333F"/>
    <w:rsid w:val="49F93B82"/>
    <w:rsid w:val="4AFE38D4"/>
    <w:rsid w:val="4AFF6AC5"/>
    <w:rsid w:val="4B63277C"/>
    <w:rsid w:val="4B6D132B"/>
    <w:rsid w:val="4B883C38"/>
    <w:rsid w:val="4E734A20"/>
    <w:rsid w:val="4E781E41"/>
    <w:rsid w:val="4E7A400C"/>
    <w:rsid w:val="50354FC7"/>
    <w:rsid w:val="503808F0"/>
    <w:rsid w:val="51CC11CB"/>
    <w:rsid w:val="52871084"/>
    <w:rsid w:val="53351E25"/>
    <w:rsid w:val="53374EAC"/>
    <w:rsid w:val="53886B7E"/>
    <w:rsid w:val="54577045"/>
    <w:rsid w:val="547D1EDE"/>
    <w:rsid w:val="54E824D0"/>
    <w:rsid w:val="56D25DAC"/>
    <w:rsid w:val="56D8375B"/>
    <w:rsid w:val="5A3E4F49"/>
    <w:rsid w:val="5A6C7B18"/>
    <w:rsid w:val="5B2D04B9"/>
    <w:rsid w:val="5B2E129B"/>
    <w:rsid w:val="5BB0423A"/>
    <w:rsid w:val="5CEB61BF"/>
    <w:rsid w:val="5D0D6861"/>
    <w:rsid w:val="5D1E20BB"/>
    <w:rsid w:val="5DCF19FD"/>
    <w:rsid w:val="5DEF6F26"/>
    <w:rsid w:val="5E747105"/>
    <w:rsid w:val="5E9B7D58"/>
    <w:rsid w:val="5EFE2651"/>
    <w:rsid w:val="5F222307"/>
    <w:rsid w:val="5F375D82"/>
    <w:rsid w:val="601B5066"/>
    <w:rsid w:val="608756F8"/>
    <w:rsid w:val="61335A84"/>
    <w:rsid w:val="622C0948"/>
    <w:rsid w:val="63597847"/>
    <w:rsid w:val="635C63C5"/>
    <w:rsid w:val="64034F0E"/>
    <w:rsid w:val="640D59C3"/>
    <w:rsid w:val="64511A4F"/>
    <w:rsid w:val="647F0F1F"/>
    <w:rsid w:val="64AE3748"/>
    <w:rsid w:val="654149B7"/>
    <w:rsid w:val="658F6974"/>
    <w:rsid w:val="661316B7"/>
    <w:rsid w:val="66B76500"/>
    <w:rsid w:val="67084156"/>
    <w:rsid w:val="67863AFB"/>
    <w:rsid w:val="67B10DA7"/>
    <w:rsid w:val="682021D1"/>
    <w:rsid w:val="6827339B"/>
    <w:rsid w:val="684A5AA5"/>
    <w:rsid w:val="68712663"/>
    <w:rsid w:val="695916D2"/>
    <w:rsid w:val="69BD53DE"/>
    <w:rsid w:val="69E41518"/>
    <w:rsid w:val="6B1233E8"/>
    <w:rsid w:val="6B443A39"/>
    <w:rsid w:val="6C315422"/>
    <w:rsid w:val="6C8D36DD"/>
    <w:rsid w:val="6D0E24E5"/>
    <w:rsid w:val="6D6830E2"/>
    <w:rsid w:val="6E291EA5"/>
    <w:rsid w:val="6E5D4F68"/>
    <w:rsid w:val="6F2B11B3"/>
    <w:rsid w:val="6F481EAB"/>
    <w:rsid w:val="703A413A"/>
    <w:rsid w:val="71AB3BDF"/>
    <w:rsid w:val="729754B4"/>
    <w:rsid w:val="72D50035"/>
    <w:rsid w:val="73312101"/>
    <w:rsid w:val="7373248E"/>
    <w:rsid w:val="75A960E2"/>
    <w:rsid w:val="75F341BD"/>
    <w:rsid w:val="764D7193"/>
    <w:rsid w:val="769F17F7"/>
    <w:rsid w:val="76D10CEA"/>
    <w:rsid w:val="76F7354D"/>
    <w:rsid w:val="77467DFE"/>
    <w:rsid w:val="778E175E"/>
    <w:rsid w:val="782B44A5"/>
    <w:rsid w:val="79223EC5"/>
    <w:rsid w:val="79436DF6"/>
    <w:rsid w:val="795058E9"/>
    <w:rsid w:val="79941E11"/>
    <w:rsid w:val="7A0B6D21"/>
    <w:rsid w:val="7A4310DB"/>
    <w:rsid w:val="7B8950C9"/>
    <w:rsid w:val="7C187F7E"/>
    <w:rsid w:val="7D0623B4"/>
    <w:rsid w:val="7D3D1BAC"/>
    <w:rsid w:val="7D5B052F"/>
    <w:rsid w:val="7E5D5112"/>
    <w:rsid w:val="7E6B3AD2"/>
    <w:rsid w:val="7E6B66AB"/>
    <w:rsid w:val="7E806EC5"/>
    <w:rsid w:val="7EBE4F1D"/>
    <w:rsid w:val="7EEB3738"/>
    <w:rsid w:val="7F5F3007"/>
    <w:rsid w:val="7FBD5F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keepNext/>
      <w:keepLines/>
      <w:widowControl w:val="0"/>
      <w:spacing w:before="340" w:after="330" w:line="576"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jc w:val="center"/>
      <w:outlineLvl w:val="1"/>
    </w:pPr>
    <w:rPr>
      <w:rFonts w:ascii="Arial" w:hAnsi="Arial" w:eastAsia="黑体"/>
      <w:b/>
      <w:bCs/>
      <w:sz w:val="32"/>
      <w:szCs w:val="32"/>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1"/>
    <w:pPr>
      <w:jc w:val="center"/>
    </w:pPr>
    <w:rPr>
      <w:sz w:val="52"/>
    </w:rPr>
  </w:style>
  <w:style w:type="paragraph" w:styleId="5">
    <w:name w:val="endnote text"/>
    <w:basedOn w:val="1"/>
    <w:unhideWhenUsed/>
    <w:qFormat/>
    <w:uiPriority w:val="99"/>
    <w:pPr>
      <w:snapToGrid w:val="0"/>
      <w:jc w:val="left"/>
    </w:p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next w:val="7"/>
    <w:qFormat/>
    <w:uiPriority w:val="0"/>
    <w:rPr>
      <w:rFonts w:ascii="Arial" w:hAnsi="Arial" w:eastAsia="宋体" w:cs="Times New Roman"/>
      <w:sz w:val="24"/>
      <w:lang w:val="en-US" w:eastAsia="zh-CN" w:bidi="ar-SA"/>
    </w:rPr>
  </w:style>
  <w:style w:type="character" w:customStyle="1" w:styleId="11">
    <w:name w:val="页脚 Char"/>
    <w:basedOn w:val="10"/>
    <w:link w:val="6"/>
    <w:semiHidden/>
    <w:qFormat/>
    <w:uiPriority w:val="99"/>
    <w:rPr>
      <w:sz w:val="18"/>
      <w:szCs w:val="18"/>
    </w:rPr>
  </w:style>
  <w:style w:type="character" w:customStyle="1" w:styleId="12">
    <w:name w:val="页眉 Char"/>
    <w:basedOn w:val="10"/>
    <w:link w:val="7"/>
    <w:semiHidden/>
    <w:qFormat/>
    <w:uiPriority w:val="99"/>
    <w:rPr>
      <w:sz w:val="18"/>
      <w:szCs w:val="18"/>
    </w:rPr>
  </w:style>
  <w:style w:type="character" w:customStyle="1" w:styleId="13">
    <w:name w:val="NormalCharacter"/>
    <w:qFormat/>
    <w:uiPriority w:val="0"/>
    <w:rPr>
      <w:rFonts w:ascii="Times New Roman" w:hAnsi="Times New Roman" w:eastAsia="宋体" w:cs="Times New Roman"/>
      <w:kern w:val="2"/>
      <w:sz w:val="21"/>
      <w:szCs w:val="24"/>
      <w:lang w:val="en-US" w:eastAsia="zh-CN" w:bidi="ar-SA"/>
    </w:rPr>
  </w:style>
  <w:style w:type="paragraph" w:styleId="14">
    <w:name w:val="List Paragraph"/>
    <w:basedOn w:val="1"/>
    <w:qFormat/>
    <w:uiPriority w:val="1"/>
    <w:pPr>
      <w:ind w:left="511"/>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国电长源电力股份有限公司</Company>
  <Pages>2</Pages>
  <Words>213</Words>
  <Characters>1220</Characters>
  <Lines>10</Lines>
  <Paragraphs>2</Paragraphs>
  <TotalTime>10</TotalTime>
  <ScaleCrop>false</ScaleCrop>
  <LinksUpToDate>false</LinksUpToDate>
  <CharactersWithSpaces>1431</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2016-06-13T08:55:00Z</dcterms:created>
  <dc:creator>毋亮/国电长源电力股份有限公司</dc:creator>
  <cp:lastModifiedBy>叶建兵</cp:lastModifiedBy>
  <dcterms:modified xsi:type="dcterms:W3CDTF">2026-08-13T06:34:08Z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08C313970B6A4367B9CBBC4CF64E6A01_13</vt:lpwstr>
  </property>
</Properties>
</file>