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jc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  <w:t>证券代码：000966        证券简称：长源电力        公告编号：20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  <w:lang w:val="en-US" w:eastAsia="zh-CN"/>
        </w:rPr>
        <w:t>25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</w:rPr>
        <w:t>-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highlight w:val="none"/>
          <w:lang w:val="en-US" w:eastAsia="zh-CN"/>
        </w:rPr>
        <w:t>079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4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长源电力股份有限公司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松滋八宝</w:t>
      </w:r>
      <w:r>
        <w:rPr>
          <w:rFonts w:hint="eastAsia" w:eastAsia="方正小标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100MW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风电项目获得核准的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</w:pPr>
      <w:bookmarkStart w:id="1" w:name="_GoBack"/>
      <w:bookmarkEnd w:id="1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highlight w:val="none"/>
        </w:rPr>
        <w:t>自愿性信息披露公告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8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>
      <w:pPr>
        <w:adjustRightInd w:val="0"/>
        <w:snapToGrid w:val="0"/>
        <w:spacing w:line="420" w:lineRule="exact"/>
        <w:ind w:firstLine="562" w:firstLineChars="200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日，公司收到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松滋市发展和改革局印发的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《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关于</w:t>
      </w:r>
      <w:bookmarkStart w:id="0" w:name="OLE_LINK1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国能长源松滋市八宝镇100MW风电场项目</w:t>
      </w:r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核准的批复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》（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松发改审批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〔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〕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278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号），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公司全资子公司国能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长源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湖北新能源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有限公司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所属国能长源松滋市八宝镇100MW风电场项目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（以下简称松滋八宝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风电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项目）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获得核准。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二、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en-US" w:eastAsia="zh-CN"/>
        </w:rPr>
        <w:t>核准批复主要内容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同意建设国能长源松滋市八宝镇100MW风电场项目(项目代码:2303-421087-04-01-420985)，项目建设单位为国能长源湖北新能源有限公司。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项目建设地点：湖北省松滋市八宝镇、涴市镇、沙道观镇。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建设规模及主要建设内容：项目建设规模为100MW，拟安装16台6.25MW风力发电机组，配套建设110kV升压站(含50MW/100MWh储能)、35kV开关站(含20MW/40MWh储能)及10kV开关站(含10MW/20MWh储能)。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项目投资及资金来源：项目动态总投资58,291万元(含外送线路工程及储能工程)，静态总投资57,250万元(含外送线路工程及储能工程)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，其中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资本金17,487.3万元，占动态总投资的30%，其余资金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通过金融机构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贷款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解决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项目勘察、设计、监理、施工、主要设备及重要材料采购严格按照项目核准意见实施公开招标。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项目开工前，应依据相关法律、行政法规规定办理规划许可、土地使用、资源利用、安全生产、环评等相关报建手续。严格按照资规、环保、水利等部门批复意见和要求开展项目建设，不得违规在生态保护红线范围内开展项目建设。按照国家有关规定做好节能、资源综合利用、环境保护、森林植被恢复、水土保持等工作。按照《风电场工程竣工验收管理办法》和《风力发电工程施工与验收规范》，及时开展项目竣工验收工作。按照相关法律法规和安全生产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三同时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要求，在项目设计、建设和运营中落实各项安全措施，确保项目安全运行。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en-US" w:eastAsia="zh-CN"/>
        </w:rPr>
        <w:t>三、对公司的影响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目前，公司风电装机容量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26.4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万千瓦，上述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松滋八宝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100MW风电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建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成后，公司风电装机将达到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36.4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万千瓦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装机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结构得到持续优化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公司将就上述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松滋八宝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风电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的投资和审批决策事宜履行持续的信息披露义务。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、备查文件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松滋市发展和改革局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《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关于国能长源松滋市八宝镇100MW风电场项目核准的批复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》（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松发改审批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〔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〕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278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555"/>
        <w:jc w:val="righ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555"/>
        <w:jc w:val="righ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国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家能源集团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长源电力股份有限公司董事会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right="0" w:firstLine="5188" w:firstLineChars="2162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20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right="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49"/>
    <w:rsid w:val="00043575"/>
    <w:rsid w:val="000D2481"/>
    <w:rsid w:val="00112847"/>
    <w:rsid w:val="001202FA"/>
    <w:rsid w:val="001764BF"/>
    <w:rsid w:val="001C0579"/>
    <w:rsid w:val="001D79E7"/>
    <w:rsid w:val="002202BD"/>
    <w:rsid w:val="00233451"/>
    <w:rsid w:val="0032370D"/>
    <w:rsid w:val="00345678"/>
    <w:rsid w:val="003864F4"/>
    <w:rsid w:val="003957AF"/>
    <w:rsid w:val="003A4D1F"/>
    <w:rsid w:val="00462F52"/>
    <w:rsid w:val="00517E12"/>
    <w:rsid w:val="005B3A46"/>
    <w:rsid w:val="00667938"/>
    <w:rsid w:val="006A39B4"/>
    <w:rsid w:val="00747BB7"/>
    <w:rsid w:val="007A30C7"/>
    <w:rsid w:val="007B09FB"/>
    <w:rsid w:val="0087330F"/>
    <w:rsid w:val="008D3100"/>
    <w:rsid w:val="00984EC0"/>
    <w:rsid w:val="00A15249"/>
    <w:rsid w:val="00A15E48"/>
    <w:rsid w:val="00A66FC5"/>
    <w:rsid w:val="00B15A97"/>
    <w:rsid w:val="00B36BE2"/>
    <w:rsid w:val="00BC7A94"/>
    <w:rsid w:val="00C52C65"/>
    <w:rsid w:val="00C966CD"/>
    <w:rsid w:val="00D454BC"/>
    <w:rsid w:val="00DA63CE"/>
    <w:rsid w:val="00F13BED"/>
    <w:rsid w:val="00F417F6"/>
    <w:rsid w:val="0A8370C7"/>
    <w:rsid w:val="0E3E336C"/>
    <w:rsid w:val="12CF0656"/>
    <w:rsid w:val="18BF63BD"/>
    <w:rsid w:val="19601EDC"/>
    <w:rsid w:val="1F624856"/>
    <w:rsid w:val="217B2AD7"/>
    <w:rsid w:val="279C010A"/>
    <w:rsid w:val="2CA1519F"/>
    <w:rsid w:val="33FD46CE"/>
    <w:rsid w:val="39F14C60"/>
    <w:rsid w:val="46717179"/>
    <w:rsid w:val="47FE7A46"/>
    <w:rsid w:val="5A0554BD"/>
    <w:rsid w:val="5DCD1EC7"/>
    <w:rsid w:val="61F609FC"/>
    <w:rsid w:val="714F4335"/>
    <w:rsid w:val="760F110A"/>
    <w:rsid w:val="77E54CD2"/>
    <w:rsid w:val="7F963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楷体_GB2312" w:eastAsia="楷体_GB2312"/>
      <w:sz w:val="24"/>
    </w:r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592</Characters>
  <Lines>4</Lines>
  <Paragraphs>1</Paragraphs>
  <TotalTime>10</TotalTime>
  <ScaleCrop>false</ScaleCrop>
  <LinksUpToDate>false</LinksUpToDate>
  <CharactersWithSpaces>694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2014-03-13T02:39:00Z</dcterms:created>
  <dc:creator>毋亮/国电长源电力股份有限公司</dc:creator>
  <cp:lastModifiedBy>刘硕02</cp:lastModifiedBy>
  <cp:lastPrinted>2017-01-17T09:13:00Z</cp:lastPrinted>
  <dcterms:modified xsi:type="dcterms:W3CDTF">2025-11-14T06:06:32Z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7C2F758A343F43ED8F2EEDFCF78F2EF2</vt:lpwstr>
  </property>
</Properties>
</file>