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autoSpaceDE w:val="0"/>
        <w:autoSpaceDN w:val="0"/>
        <w:adjustRightInd w:val="0"/>
        <w:snapToGrid w:val="0"/>
        <w:spacing w:after="0" w:line="440" w:lineRule="exact"/>
        <w:rPr>
          <w:rFonts w:hint="default" w:ascii="Times New Roman" w:hAnsi="Times New Roman" w:cs="Times New Roman"/>
          <w:color w:val="000000"/>
          <w:sz w:val="24"/>
          <w:szCs w:val="21"/>
          <w:lang w:val="en-US" w:eastAsia="zh-CN"/>
        </w:rPr>
      </w:pPr>
      <w:r>
        <w:rPr>
          <w:rFonts w:hint="default" w:ascii="Times New Roman" w:hAnsi="Times New Roman" w:cs="Times New Roman"/>
          <w:color w:val="000000"/>
          <w:sz w:val="24"/>
          <w:szCs w:val="21"/>
          <w:lang w:eastAsia="zh-CN"/>
        </w:rPr>
        <w:t>证券代码：000966</w:t>
      </w:r>
      <w:r>
        <w:rPr>
          <w:rFonts w:hint="default" w:ascii="Times New Roman" w:hAnsi="Times New Roman" w:cs="Times New Roman"/>
          <w:color w:val="000000"/>
          <w:sz w:val="24"/>
          <w:szCs w:val="21"/>
          <w:lang w:eastAsia="zh-CN"/>
        </w:rPr>
        <w:tab/>
      </w:r>
      <w:r>
        <w:rPr>
          <w:rFonts w:hint="default" w:ascii="Times New Roman" w:hAnsi="Times New Roman" w:eastAsia="宋体" w:cs="Times New Roman"/>
          <w:color w:val="000000"/>
          <w:sz w:val="24"/>
          <w:szCs w:val="21"/>
          <w:lang w:eastAsia="zh-CN"/>
        </w:rPr>
        <w:t xml:space="preserve">     </w:t>
      </w:r>
      <w:r>
        <w:rPr>
          <w:rFonts w:hint="default" w:ascii="Times New Roman" w:hAnsi="Times New Roman" w:eastAsia="宋体" w:cs="Times New Roman"/>
          <w:color w:val="000000"/>
          <w:sz w:val="24"/>
          <w:szCs w:val="21"/>
          <w:lang w:val="en-US" w:eastAsia="zh-CN"/>
        </w:rPr>
        <w:t xml:space="preserve">       </w:t>
      </w:r>
      <w:r>
        <w:rPr>
          <w:rFonts w:hint="default" w:ascii="Times New Roman" w:hAnsi="Times New Roman" w:eastAsia="宋体" w:cs="Times New Roman"/>
          <w:color w:val="000000"/>
          <w:sz w:val="24"/>
          <w:szCs w:val="21"/>
          <w:lang w:eastAsia="zh-CN"/>
        </w:rPr>
        <w:t xml:space="preserve">   </w:t>
      </w:r>
      <w:r>
        <w:rPr>
          <w:rFonts w:hint="default" w:ascii="Times New Roman" w:hAnsi="Times New Roman" w:cs="Times New Roman"/>
          <w:color w:val="000000"/>
          <w:sz w:val="24"/>
          <w:szCs w:val="21"/>
          <w:lang w:eastAsia="zh-CN"/>
        </w:rPr>
        <w:t>证券简称：长源电力</w:t>
      </w:r>
      <w:r>
        <w:rPr>
          <w:rFonts w:hint="default" w:ascii="Times New Roman" w:hAnsi="Times New Roman" w:eastAsia="宋体" w:cs="Times New Roman"/>
          <w:color w:val="000000"/>
          <w:sz w:val="24"/>
          <w:szCs w:val="21"/>
          <w:lang w:eastAsia="zh-CN"/>
        </w:rPr>
        <w:t xml:space="preserve">     </w:t>
      </w:r>
      <w:r>
        <w:rPr>
          <w:rFonts w:hint="default" w:ascii="Times New Roman" w:hAnsi="Times New Roman" w:eastAsia="宋体" w:cs="Times New Roman"/>
          <w:color w:val="000000"/>
          <w:sz w:val="24"/>
          <w:szCs w:val="21"/>
          <w:lang w:val="en-US" w:eastAsia="zh-CN"/>
        </w:rPr>
        <w:t xml:space="preserve">         </w:t>
      </w:r>
      <w:r>
        <w:rPr>
          <w:rFonts w:hint="default" w:ascii="Times New Roman" w:hAnsi="Times New Roman" w:eastAsia="宋体" w:cs="Times New Roman"/>
          <w:color w:val="000000"/>
          <w:sz w:val="24"/>
          <w:szCs w:val="21"/>
          <w:lang w:eastAsia="zh-CN"/>
        </w:rPr>
        <w:t xml:space="preserve">   </w:t>
      </w:r>
      <w:r>
        <w:rPr>
          <w:rFonts w:hint="default" w:ascii="Times New Roman" w:hAnsi="Times New Roman" w:cs="Times New Roman"/>
          <w:color w:val="000000"/>
          <w:sz w:val="24"/>
          <w:szCs w:val="21"/>
          <w:lang w:eastAsia="zh-CN"/>
        </w:rPr>
        <w:t>公告编号：202</w:t>
      </w:r>
      <w:r>
        <w:rPr>
          <w:rFonts w:hint="default" w:ascii="Times New Roman" w:hAnsi="Times New Roman" w:cs="Times New Roman"/>
          <w:color w:val="000000"/>
          <w:sz w:val="24"/>
          <w:szCs w:val="21"/>
          <w:lang w:val="en-US" w:eastAsia="zh-CN"/>
        </w:rPr>
        <w:t>5-059</w:t>
      </w:r>
    </w:p>
    <w:p>
      <w:pPr>
        <w:autoSpaceDE w:val="0"/>
        <w:autoSpaceDN w:val="0"/>
        <w:spacing w:after="0" w:line="440" w:lineRule="exact"/>
        <w:contextualSpacing/>
        <w:jc w:val="center"/>
        <w:rPr>
          <w:rFonts w:hint="default" w:ascii="Times New Roman" w:hAnsi="Times New Roman" w:eastAsia="方正小标宋简体" w:cs="Times New Roman"/>
          <w:sz w:val="32"/>
          <w:szCs w:val="32"/>
          <w:lang w:eastAsia="zh-CN"/>
        </w:rPr>
      </w:pPr>
    </w:p>
    <w:p>
      <w:pPr>
        <w:adjustRightInd w:val="0"/>
        <w:snapToGrid w:val="0"/>
        <w:spacing w:after="0" w:line="440" w:lineRule="exact"/>
        <w:jc w:val="center"/>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lang w:eastAsia="zh-CN"/>
        </w:rPr>
        <w:t>国家能源集团长源电力股份有限公司</w:t>
      </w:r>
    </w:p>
    <w:p>
      <w:pPr>
        <w:adjustRightInd w:val="0"/>
        <w:snapToGrid w:val="0"/>
        <w:spacing w:after="0" w:line="440" w:lineRule="exact"/>
        <w:jc w:val="center"/>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lang w:eastAsia="zh-CN"/>
        </w:rPr>
        <w:t>关于</w:t>
      </w:r>
      <w:r>
        <w:rPr>
          <w:rFonts w:hint="default" w:ascii="Times New Roman" w:hAnsi="Times New Roman" w:eastAsia="方正小标宋简体" w:cs="Times New Roman"/>
          <w:sz w:val="32"/>
          <w:szCs w:val="32"/>
          <w:lang w:val="en-US" w:eastAsia="zh-CN"/>
        </w:rPr>
        <w:t>2025年上半年</w:t>
      </w:r>
      <w:r>
        <w:rPr>
          <w:rFonts w:hint="default" w:ascii="Times New Roman" w:hAnsi="Times New Roman" w:eastAsia="方正小标宋简体" w:cs="Times New Roman"/>
          <w:sz w:val="32"/>
          <w:szCs w:val="32"/>
          <w:lang w:eastAsia="zh-CN"/>
        </w:rPr>
        <w:t>募集资金存放</w:t>
      </w:r>
      <w:r>
        <w:rPr>
          <w:rFonts w:hint="eastAsia" w:ascii="Times New Roman" w:hAnsi="Times New Roman" w:eastAsia="方正小标宋简体" w:cs="Times New Roman"/>
          <w:sz w:val="32"/>
          <w:szCs w:val="32"/>
          <w:lang w:eastAsia="zh-CN"/>
        </w:rPr>
        <w:t>、管理</w:t>
      </w:r>
      <w:r>
        <w:rPr>
          <w:rFonts w:hint="default" w:ascii="Times New Roman" w:hAnsi="Times New Roman" w:eastAsia="方正小标宋简体" w:cs="Times New Roman"/>
          <w:sz w:val="32"/>
          <w:szCs w:val="32"/>
          <w:lang w:eastAsia="zh-CN"/>
        </w:rPr>
        <w:t>与使用情况的</w:t>
      </w:r>
    </w:p>
    <w:p>
      <w:pPr>
        <w:adjustRightInd w:val="0"/>
        <w:snapToGrid w:val="0"/>
        <w:spacing w:after="0" w:line="440" w:lineRule="exact"/>
        <w:jc w:val="center"/>
        <w:rPr>
          <w:rFonts w:hint="default"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lang w:eastAsia="zh-CN"/>
        </w:rPr>
        <w:t>专项报告</w:t>
      </w:r>
    </w:p>
    <w:p>
      <w:pPr>
        <w:adjustRightInd w:val="0"/>
        <w:snapToGrid w:val="0"/>
        <w:spacing w:after="0" w:line="440" w:lineRule="exact"/>
        <w:jc w:val="center"/>
        <w:rPr>
          <w:rFonts w:hint="default" w:ascii="Times New Roman" w:hAnsi="Times New Roman" w:eastAsia="方正小标宋简体" w:cs="Times New Roman"/>
          <w:sz w:val="32"/>
          <w:szCs w:val="32"/>
          <w:lang w:eastAsia="zh-CN"/>
        </w:rPr>
      </w:pPr>
    </w:p>
    <w:tbl>
      <w:tblPr>
        <w:tblStyle w:val="11"/>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610" w:type="dxa"/>
          </w:tcPr>
          <w:p>
            <w:pPr>
              <w:autoSpaceDE w:val="0"/>
              <w:autoSpaceDN w:val="0"/>
              <w:adjustRightInd w:val="0"/>
              <w:snapToGrid w:val="0"/>
              <w:spacing w:line="380" w:lineRule="exact"/>
              <w:ind w:right="-194" w:rightChars="-88" w:firstLine="480" w:firstLineChars="200"/>
              <w:rPr>
                <w:rFonts w:hint="default" w:ascii="Times New Roman" w:hAnsi="Times New Roman" w:cs="Times New Roman"/>
                <w:sz w:val="24"/>
                <w:lang w:eastAsia="zh-CN"/>
              </w:rPr>
            </w:pPr>
            <w:r>
              <w:rPr>
                <w:rFonts w:hint="default" w:ascii="Times New Roman" w:hAnsi="Times New Roman" w:cs="Times New Roman"/>
                <w:color w:val="000000"/>
                <w:sz w:val="24"/>
                <w:szCs w:val="28"/>
                <w:lang w:eastAsia="zh-CN"/>
              </w:rPr>
              <w:t>本公司及董事会全体成员保证信息披露的内容真实、准确、完整，没有虚假记载、误导性陈述或重大遗漏。</w:t>
            </w:r>
          </w:p>
        </w:tc>
      </w:tr>
    </w:tbl>
    <w:p>
      <w:pPr>
        <w:spacing w:line="380" w:lineRule="exact"/>
        <w:contextualSpacing/>
        <w:rPr>
          <w:rFonts w:hint="default" w:ascii="Times New Roman" w:hAnsi="Times New Roman" w:cs="Times New Roman"/>
          <w:b/>
          <w:sz w:val="24"/>
          <w:lang w:eastAsia="zh-CN"/>
        </w:rPr>
      </w:pPr>
    </w:p>
    <w:p>
      <w:pPr>
        <w:widowControl/>
        <w:spacing w:after="0" w:line="400" w:lineRule="exact"/>
        <w:ind w:firstLine="480" w:firstLineChars="200"/>
        <w:jc w:val="left"/>
        <w:rPr>
          <w:rFonts w:hint="default" w:ascii="Times New Roman" w:hAnsi="Times New Roman" w:eastAsia="宋体" w:cs="Times New Roman"/>
          <w:kern w:val="2"/>
          <w:sz w:val="24"/>
          <w:szCs w:val="24"/>
          <w:lang w:eastAsia="zh-CN"/>
        </w:rPr>
      </w:pPr>
      <w:r>
        <w:rPr>
          <w:rFonts w:hint="default" w:ascii="Times New Roman" w:hAnsi="Times New Roman" w:cs="Times New Roman"/>
          <w:color w:val="auto"/>
          <w:sz w:val="24"/>
        </w:rPr>
        <w:t>根据中国证监会发布的《上市公司募集资金监管规则》和深圳证券交易所发布的《</w:t>
      </w:r>
      <w:r>
        <w:rPr>
          <w:rFonts w:hint="default" w:ascii="Times New Roman" w:hAnsi="Times New Roman" w:cs="Times New Roman"/>
          <w:color w:val="auto"/>
          <w:sz w:val="24"/>
          <w:szCs w:val="24"/>
        </w:rPr>
        <w:t>深圳证券交易所上市公司自律监管指引第1号——主板上市公司规范运作</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等有关规定</w:t>
      </w:r>
      <w:r>
        <w:rPr>
          <w:rFonts w:hint="default" w:ascii="Times New Roman" w:hAnsi="Times New Roman" w:eastAsia="宋体" w:cs="Times New Roman"/>
          <w:kern w:val="2"/>
          <w:sz w:val="24"/>
          <w:szCs w:val="24"/>
          <w:lang w:eastAsia="zh-CN"/>
        </w:rPr>
        <w:t>，</w:t>
      </w:r>
      <w:r>
        <w:rPr>
          <w:rFonts w:hint="default" w:ascii="Times New Roman" w:hAnsi="Times New Roman" w:eastAsia="宋体" w:cs="Times New Roman"/>
          <w:kern w:val="2"/>
          <w:sz w:val="24"/>
          <w:szCs w:val="24"/>
          <w:lang w:val="en-US" w:eastAsia="zh-CN"/>
        </w:rPr>
        <w:t>公司</w:t>
      </w:r>
      <w:r>
        <w:rPr>
          <w:rFonts w:hint="default" w:ascii="Times New Roman" w:hAnsi="Times New Roman" w:cs="Times New Roman"/>
          <w:color w:val="auto"/>
          <w:sz w:val="24"/>
        </w:rPr>
        <w:t>董事会编制了截至202</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年</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月3</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日的</w:t>
      </w:r>
      <w:r>
        <w:rPr>
          <w:rFonts w:hint="default" w:ascii="Times New Roman" w:hAnsi="Times New Roman" w:cs="Times New Roman"/>
          <w:color w:val="auto"/>
          <w:sz w:val="24"/>
          <w:lang w:val="en-US" w:eastAsia="zh-CN"/>
        </w:rPr>
        <w:t>2025年半年度</w:t>
      </w:r>
      <w:r>
        <w:rPr>
          <w:rFonts w:hint="default" w:ascii="Times New Roman" w:hAnsi="Times New Roman" w:cs="Times New Roman"/>
          <w:color w:val="auto"/>
          <w:sz w:val="24"/>
        </w:rPr>
        <w:t>募集资金存放</w:t>
      </w:r>
      <w:r>
        <w:rPr>
          <w:rFonts w:hint="eastAsia" w:ascii="Times New Roman" w:hAnsi="Times New Roman" w:cs="Times New Roman"/>
          <w:color w:val="auto"/>
          <w:sz w:val="24"/>
          <w:lang w:eastAsia="zh-CN"/>
        </w:rPr>
        <w:t>、管理</w:t>
      </w:r>
      <w:r>
        <w:rPr>
          <w:rFonts w:hint="default" w:ascii="Times New Roman" w:hAnsi="Times New Roman" w:cs="Times New Roman"/>
          <w:color w:val="auto"/>
          <w:sz w:val="24"/>
        </w:rPr>
        <w:t>与</w:t>
      </w:r>
      <w:bookmarkStart w:id="0" w:name="_GoBack"/>
      <w:bookmarkEnd w:id="0"/>
      <w:r>
        <w:rPr>
          <w:rFonts w:hint="default" w:ascii="Times New Roman" w:hAnsi="Times New Roman" w:cs="Times New Roman"/>
          <w:color w:val="auto"/>
          <w:sz w:val="24"/>
        </w:rPr>
        <w:t>使用情况的专项报告</w:t>
      </w:r>
      <w:r>
        <w:rPr>
          <w:rFonts w:hint="default" w:ascii="Times New Roman" w:hAnsi="Times New Roman" w:eastAsia="宋体" w:cs="Times New Roman"/>
          <w:kern w:val="2"/>
          <w:sz w:val="24"/>
          <w:szCs w:val="24"/>
          <w:lang w:eastAsia="zh-CN"/>
        </w:rPr>
        <w:t>，</w:t>
      </w:r>
      <w:r>
        <w:rPr>
          <w:rFonts w:hint="default" w:ascii="Times New Roman" w:hAnsi="Times New Roman" w:eastAsia="宋体" w:cs="Times New Roman"/>
          <w:kern w:val="2"/>
          <w:sz w:val="24"/>
          <w:szCs w:val="24"/>
          <w:lang w:val="en-US" w:eastAsia="zh-CN"/>
        </w:rPr>
        <w:t>相关情况如下</w:t>
      </w:r>
      <w:r>
        <w:rPr>
          <w:rFonts w:hint="default" w:ascii="Times New Roman" w:hAnsi="Times New Roman" w:eastAsia="宋体" w:cs="Times New Roman"/>
          <w:kern w:val="2"/>
          <w:sz w:val="24"/>
          <w:szCs w:val="24"/>
          <w:lang w:eastAsia="zh-CN"/>
        </w:rPr>
        <w:t>：</w:t>
      </w:r>
    </w:p>
    <w:p>
      <w:pPr>
        <w:widowControl/>
        <w:spacing w:after="0" w:line="380" w:lineRule="exact"/>
        <w:ind w:firstLine="482" w:firstLineChars="200"/>
        <w:jc w:val="both"/>
        <w:rPr>
          <w:rFonts w:hint="default" w:ascii="Times New Roman" w:hAnsi="Times New Roman" w:eastAsia="宋体" w:cs="Times New Roman"/>
          <w:b/>
          <w:bCs/>
          <w:color w:val="000000"/>
          <w:kern w:val="2"/>
          <w:sz w:val="24"/>
          <w:szCs w:val="24"/>
          <w:lang w:eastAsia="zh-CN"/>
        </w:rPr>
      </w:pPr>
      <w:r>
        <w:rPr>
          <w:rFonts w:hint="default" w:ascii="Times New Roman" w:hAnsi="Times New Roman" w:eastAsia="宋体" w:cs="Times New Roman"/>
          <w:b/>
          <w:bCs/>
          <w:color w:val="000000"/>
          <w:kern w:val="2"/>
          <w:sz w:val="24"/>
          <w:szCs w:val="24"/>
          <w:lang w:eastAsia="zh-CN"/>
        </w:rPr>
        <w:fldChar w:fldCharType="begin"/>
      </w:r>
      <w:r>
        <w:rPr>
          <w:rFonts w:hint="default" w:ascii="Times New Roman" w:hAnsi="Times New Roman" w:eastAsia="宋体" w:cs="Times New Roman"/>
          <w:b/>
          <w:bCs/>
          <w:color w:val="000000"/>
          <w:kern w:val="2"/>
          <w:sz w:val="24"/>
          <w:szCs w:val="24"/>
          <w:lang w:eastAsia="zh-CN"/>
        </w:rPr>
        <w:instrText xml:space="preserve"> DOCVARIABLE 附注一级 \* MERGEFORMAT </w:instrText>
      </w:r>
      <w:r>
        <w:rPr>
          <w:rFonts w:hint="default" w:ascii="Times New Roman" w:hAnsi="Times New Roman" w:eastAsia="宋体" w:cs="Times New Roman"/>
          <w:b/>
          <w:bCs/>
          <w:color w:val="000000"/>
          <w:kern w:val="2"/>
          <w:sz w:val="24"/>
          <w:szCs w:val="24"/>
          <w:lang w:eastAsia="zh-CN"/>
        </w:rPr>
        <w:fldChar w:fldCharType="separate"/>
      </w:r>
      <w:r>
        <w:rPr>
          <w:rFonts w:hint="default" w:ascii="Times New Roman" w:hAnsi="Times New Roman" w:eastAsia="宋体" w:cs="Times New Roman"/>
          <w:b/>
          <w:bCs/>
          <w:color w:val="000000"/>
          <w:kern w:val="2"/>
          <w:sz w:val="24"/>
          <w:szCs w:val="24"/>
          <w:lang w:eastAsia="zh-CN"/>
        </w:rPr>
        <w:t>一、</w:t>
      </w:r>
      <w:r>
        <w:rPr>
          <w:rFonts w:hint="default" w:ascii="Times New Roman" w:hAnsi="Times New Roman" w:eastAsia="宋体" w:cs="Times New Roman"/>
          <w:b/>
          <w:bCs/>
          <w:color w:val="000000"/>
          <w:kern w:val="2"/>
          <w:sz w:val="24"/>
          <w:szCs w:val="24"/>
          <w:lang w:eastAsia="zh-CN"/>
        </w:rPr>
        <w:fldChar w:fldCharType="end"/>
      </w:r>
      <w:r>
        <w:rPr>
          <w:rFonts w:hint="default" w:ascii="Times New Roman" w:hAnsi="Times New Roman" w:cs="Times New Roman"/>
          <w:b/>
          <w:color w:val="000000"/>
          <w:kern w:val="0"/>
          <w:sz w:val="24"/>
        </w:rPr>
        <w:t>募集资金基本情况</w:t>
      </w:r>
    </w:p>
    <w:p>
      <w:pPr>
        <w:spacing w:line="40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中国证券监督管理委员会《关于同意国家能源集团长源电力股份有限公司向特定对象发行股票注册的批复》（证监许可（2024）1021号）核准，公司本次实际向特定对象发行普通股股票731,707,317股，发行价格为人民币4.10元，共募集资金人民币2,999,999,999.70元，扣除保荐承销费用人民币8,458,759.99元（含税）后，募集资金实际收款为人民币2,991,541,239.71元。公司于2024年11月5日收到募集资金，立信会计师事务所（特殊普通合伙）对资金到位情况进行了审验，并于2024年11月6日出具了《验资报告》（信会师报字[2024]第ZE22906号）。上述资金已全部存入公司募集资金专户。截至2025年6月30日，募集资金余额为6,533.56万元，明细情况如下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119"/>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序号</w:t>
            </w:r>
          </w:p>
        </w:tc>
        <w:tc>
          <w:tcPr>
            <w:tcW w:w="358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项目</w:t>
            </w:r>
          </w:p>
        </w:tc>
        <w:tc>
          <w:tcPr>
            <w:tcW w:w="975"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shd w:val="clear" w:color="auto" w:fill="auto"/>
            <w:noWrap/>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一</w:t>
            </w:r>
          </w:p>
        </w:tc>
        <w:tc>
          <w:tcPr>
            <w:tcW w:w="6119" w:type="dxa"/>
            <w:shd w:val="clear" w:color="auto" w:fill="auto"/>
            <w:noWrap/>
            <w:vAlign w:val="center"/>
          </w:tcPr>
          <w:p>
            <w:pPr>
              <w:keepNext w:val="0"/>
              <w:keepLines w:val="0"/>
              <w:widowControl/>
              <w:suppressLineNumbers w:val="0"/>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募集资金总额</w:t>
            </w:r>
          </w:p>
        </w:tc>
        <w:tc>
          <w:tcPr>
            <w:tcW w:w="1663" w:type="dxa"/>
            <w:shd w:val="clear" w:color="auto" w:fill="FFFFFF"/>
            <w:noWrap/>
            <w:vAlign w:val="center"/>
          </w:tcPr>
          <w:p>
            <w:pPr>
              <w:keepNext w:val="0"/>
              <w:keepLines w:val="0"/>
              <w:widowControl/>
              <w:suppressLineNumbers w:val="0"/>
              <w:jc w:val="right"/>
              <w:textAlignment w:val="center"/>
              <w:rPr>
                <w:rFonts w:hint="default" w:ascii="Times New Roman" w:hAnsi="Times New Roman" w:cs="Times New Roman"/>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 xml:space="preserve"> 300,000.00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shd w:val="clear" w:color="auto" w:fill="auto"/>
            <w:noWrap/>
            <w:vAlign w:val="center"/>
          </w:tcPr>
          <w:p>
            <w:pPr>
              <w:widowControl/>
              <w:jc w:val="center"/>
              <w:textAlignment w:val="center"/>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二</w:t>
            </w:r>
          </w:p>
        </w:tc>
        <w:tc>
          <w:tcPr>
            <w:tcW w:w="6119" w:type="dxa"/>
            <w:shd w:val="clear" w:color="auto" w:fill="auto"/>
            <w:noWrap/>
            <w:vAlign w:val="center"/>
          </w:tcPr>
          <w:p>
            <w:pPr>
              <w:keepNext w:val="0"/>
              <w:keepLines w:val="0"/>
              <w:widowControl/>
              <w:suppressLineNumbers w:val="0"/>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发行承销费用</w:t>
            </w:r>
          </w:p>
        </w:tc>
        <w:tc>
          <w:tcPr>
            <w:tcW w:w="1663" w:type="dxa"/>
            <w:shd w:val="clear" w:color="auto" w:fill="FFFFFF"/>
            <w:noWrap/>
            <w:vAlign w:val="center"/>
          </w:tcPr>
          <w:p>
            <w:pPr>
              <w:keepNext w:val="0"/>
              <w:keepLines w:val="0"/>
              <w:widowControl/>
              <w:suppressLineNumbers w:val="0"/>
              <w:jc w:val="right"/>
              <w:textAlignment w:val="center"/>
              <w:rPr>
                <w:rFonts w:hint="default" w:ascii="Times New Roman" w:hAnsi="Times New Roman" w:cs="Times New Roman"/>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 xml:space="preserve"> 845.88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shd w:val="clear" w:color="auto" w:fill="auto"/>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三</w:t>
            </w:r>
          </w:p>
        </w:tc>
        <w:tc>
          <w:tcPr>
            <w:tcW w:w="6119" w:type="dxa"/>
            <w:shd w:val="clear" w:color="auto" w:fill="auto"/>
            <w:noWrap/>
            <w:vAlign w:val="center"/>
          </w:tcPr>
          <w:p>
            <w:pPr>
              <w:keepNext w:val="0"/>
              <w:keepLines w:val="0"/>
              <w:widowControl/>
              <w:suppressLineNumbers w:val="0"/>
              <w:jc w:val="left"/>
              <w:textAlignment w:val="center"/>
              <w:rPr>
                <w:rFonts w:hint="default" w:ascii="Times New Roman" w:hAnsi="Times New Roman" w:cs="Times New Roman"/>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募集资金实际收款</w:t>
            </w:r>
          </w:p>
        </w:tc>
        <w:tc>
          <w:tcPr>
            <w:tcW w:w="1663" w:type="dxa"/>
            <w:shd w:val="clear" w:color="auto" w:fill="FFFFFF"/>
            <w:noWrap/>
            <w:vAlign w:val="center"/>
          </w:tcPr>
          <w:p>
            <w:pPr>
              <w:keepNext w:val="0"/>
              <w:keepLines w:val="0"/>
              <w:widowControl/>
              <w:suppressLineNumbers w:val="0"/>
              <w:jc w:val="right"/>
              <w:textAlignment w:val="center"/>
              <w:rPr>
                <w:rFonts w:hint="default" w:ascii="Times New Roman" w:hAnsi="Times New Roman" w:cs="Times New Roman"/>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299,154.12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shd w:val="clear" w:color="auto" w:fill="auto"/>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四</w:t>
            </w:r>
          </w:p>
        </w:tc>
        <w:tc>
          <w:tcPr>
            <w:tcW w:w="6119" w:type="dxa"/>
            <w:shd w:val="clear" w:color="auto" w:fill="auto"/>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报告期末按项目所使用的募集资金金额</w:t>
            </w:r>
          </w:p>
        </w:tc>
        <w:tc>
          <w:tcPr>
            <w:tcW w:w="1663" w:type="dxa"/>
            <w:shd w:val="clear" w:color="auto" w:fill="FFFFFF"/>
            <w:noWrap/>
            <w:vAlign w:val="center"/>
          </w:tcPr>
          <w:p>
            <w:pPr>
              <w:keepNext w:val="0"/>
              <w:keepLines w:val="0"/>
              <w:widowControl/>
              <w:suppressLineNumbers w:val="0"/>
              <w:jc w:val="right"/>
              <w:textAlignment w:val="center"/>
              <w:rPr>
                <w:rFonts w:hint="default" w:ascii="Times New Roman" w:hAnsi="Times New Roman" w:cs="Times New Roman"/>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 xml:space="preserve"> 292,667.31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shd w:val="clear" w:color="auto" w:fill="auto"/>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w:t>
            </w:r>
          </w:p>
        </w:tc>
        <w:tc>
          <w:tcPr>
            <w:tcW w:w="6119" w:type="dxa"/>
            <w:shd w:val="clear" w:color="auto" w:fill="auto"/>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汉川市新能源百万千瓦基地二期项目</w:t>
            </w:r>
          </w:p>
        </w:tc>
        <w:tc>
          <w:tcPr>
            <w:tcW w:w="1663" w:type="dxa"/>
            <w:shd w:val="clear" w:color="auto" w:fill="FFFFFF"/>
            <w:noWrap/>
            <w:vAlign w:val="center"/>
          </w:tcPr>
          <w:p>
            <w:pPr>
              <w:keepNext w:val="0"/>
              <w:keepLines w:val="0"/>
              <w:widowControl/>
              <w:suppressLineNumbers w:val="0"/>
              <w:jc w:val="right"/>
              <w:textAlignment w:val="center"/>
              <w:rPr>
                <w:rFonts w:hint="default" w:ascii="Times New Roman" w:hAnsi="Times New Roman" w:cs="Times New Roman"/>
                <w:color w:val="000000"/>
                <w:kern w:val="0"/>
                <w:sz w:val="21"/>
                <w:szCs w:val="21"/>
                <w:lang w:bidi="ar"/>
              </w:rPr>
            </w:pPr>
            <w:r>
              <w:rPr>
                <w:rFonts w:hint="default" w:ascii="Times New Roman" w:hAnsi="Times New Roman" w:eastAsia="宋体" w:cs="Times New Roman"/>
                <w:i w:val="0"/>
                <w:iCs w:val="0"/>
                <w:color w:val="000000"/>
                <w:kern w:val="0"/>
                <w:sz w:val="21"/>
                <w:szCs w:val="21"/>
                <w:u w:val="none"/>
                <w:lang w:val="en-US" w:eastAsia="zh-CN" w:bidi="ar"/>
              </w:rPr>
              <w:t xml:space="preserve"> 57,154.23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2</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汉川市新能源百万千瓦基地三期项目</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41,418.00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3</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国能长源随州市随县百万千瓦新能源多能互补基地二期 100MW 项目</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4</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国能长源荆门市源网荷储百万千瓦级新能源基地钟祥子项目光伏电站</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25,820.00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5</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国能长源潜江浩口200MW渔光互补光伏发电项目</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30,710.00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6</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国能长源谷城县冷集镇230MW农光互补光伏发电项目</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32,320.96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7</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国能长源荆州市纪南镇100MW渔光互补光伏发电项目</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12,940.00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8</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国能长源巴东县沿渡河镇100MW农光互补光伏发电项目</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13,632.00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9</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国能长源荆门屈家岭罗汉寺70MW农光伏发电项目（一期）</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7,505.00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10</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国电长源谷城县盛康镇 50MW农光互补光伏发电项目</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7,545.00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11</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补充流动资金</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46,683.44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12</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置换发行费用及中介机构服务费 </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47.17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13</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支付中介机构服务费</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91.51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五</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银行手续费</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0.07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六</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利息收入</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46.82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37" w:type="pct"/>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七</w:t>
            </w:r>
          </w:p>
        </w:tc>
        <w:tc>
          <w:tcPr>
            <w:tcW w:w="6119" w:type="dxa"/>
            <w:noWrap/>
            <w:vAlign w:val="center"/>
          </w:tcPr>
          <w:p>
            <w:pPr>
              <w:keepNext w:val="0"/>
              <w:keepLines w:val="0"/>
              <w:widowControl/>
              <w:suppressLineNumbers w:val="0"/>
              <w:jc w:val="lef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募集资金余额</w:t>
            </w:r>
          </w:p>
        </w:tc>
        <w:tc>
          <w:tcPr>
            <w:tcW w:w="1663" w:type="dxa"/>
            <w:noWrap/>
            <w:vAlign w:val="center"/>
          </w:tcPr>
          <w:p>
            <w:pPr>
              <w:keepNext w:val="0"/>
              <w:keepLines w:val="0"/>
              <w:widowControl/>
              <w:suppressLineNumbers w:val="0"/>
              <w:jc w:val="right"/>
              <w:textAlignment w:val="center"/>
              <w:rPr>
                <w:rFonts w:hint="default" w:ascii="Times New Roman" w:hAnsi="Times New Roman" w:cs="Times New Roman"/>
                <w:color w:val="000000"/>
                <w:sz w:val="21"/>
                <w:szCs w:val="21"/>
              </w:rPr>
            </w:pPr>
            <w:r>
              <w:rPr>
                <w:rFonts w:hint="default" w:ascii="Times New Roman" w:hAnsi="Times New Roman" w:eastAsia="宋体" w:cs="Times New Roman"/>
                <w:i w:val="0"/>
                <w:iCs w:val="0"/>
                <w:color w:val="000000"/>
                <w:kern w:val="0"/>
                <w:sz w:val="21"/>
                <w:szCs w:val="21"/>
                <w:u w:val="none"/>
                <w:lang w:val="en-US" w:eastAsia="zh-CN" w:bidi="ar"/>
              </w:rPr>
              <w:t xml:space="preserve"> 6,533.56 </w:t>
            </w:r>
          </w:p>
        </w:tc>
      </w:tr>
    </w:tbl>
    <w:p>
      <w:pPr>
        <w:widowControl/>
        <w:spacing w:after="0" w:line="380" w:lineRule="exact"/>
        <w:ind w:firstLine="482" w:firstLineChars="200"/>
        <w:jc w:val="both"/>
        <w:rPr>
          <w:rFonts w:hint="default" w:ascii="Times New Roman" w:hAnsi="Times New Roman" w:eastAsia="宋体" w:cs="Times New Roman"/>
          <w:b/>
          <w:bCs/>
          <w:kern w:val="2"/>
          <w:sz w:val="24"/>
          <w:szCs w:val="24"/>
          <w:lang w:eastAsia="zh-CN"/>
        </w:rPr>
      </w:pPr>
      <w:r>
        <w:rPr>
          <w:rFonts w:hint="default" w:ascii="Times New Roman" w:hAnsi="Times New Roman" w:eastAsia="宋体" w:cs="Times New Roman"/>
          <w:b/>
          <w:bCs/>
          <w:kern w:val="2"/>
          <w:sz w:val="24"/>
          <w:szCs w:val="24"/>
          <w:lang w:eastAsia="zh-CN"/>
        </w:rPr>
        <w:t>二、募集资金存放和管理情况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根据中国证监会《上市公司募集资金监管规则》等相关法律法规以及公司《募集资金使用管理制度》的有关规定，对募集资金进行了专户存储管理，募集资金到账后全部存放于募集资金专项账户内，公司与保荐机构中信建投证券股份有限公司及中信银行股份有限公司武汉分行签订了《募集资金三方监管协议》；公司与子公司国能长源随县新能源有限公司、保荐机构中信建投证券股份有限公司及中国建设银行股份有限公司随县支行签订了《募集资金三方监管协议》；公司与子公司国能长源谷城新能源有限公司、保荐机构中信建投证券股份有限公司及中信银行股份有限公司武汉分行签订了《募集资金三方监管协议》；公司与子公司国能长源巴东新能源有限公司、保荐机构中信建投证券股份有限公司及中国建设银行股份有限公司武汉省直支行签订了《募集资金三方监管协议》；公司与子公司国能长源钟祥新能源有限公司、保荐机构中信建投证券股份有限公司及中国农业银行股份有限公司荆门向阳支行签订了《募集资金三方监管协议》；公司与子公司国能长源荆州新能源有限公司、保荐机构中信建投证券股份有限公司及中国建设银行股份有限公司荆州三湾支行签订了《募集资金三方监管协议》；公司与子公司国能长源汉川发电有限公司、保荐机构中信建投证券股份有限公司及中国农业银行股份有限公司汉川支行签订了《募集资金三方监管协议》；公司与子公司国能长源荆门屈家岭新能源有限公司、保荐机构中信建投证券股份有限公司及中国农业银行股份有限公司五三农场支行签订了《募集资金三方监管协议》；公司与子公司国能长源潜江新能源有限公司、保荐机构中信建投证券股份有限公司及中国建设银行股份有限公司荆州三湾支行签订了《募集资金三方监管协议》。</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上述协议均于2024年11月27日签订，与深圳证券交易所《募集资金三方监管协议（范本）》不存在重大差异。截至202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月3</w:t>
      </w:r>
      <w:r>
        <w:rPr>
          <w:rFonts w:hint="default" w:ascii="Times New Roman" w:hAnsi="Times New Roman" w:eastAsia="宋体" w:cs="Times New Roman"/>
          <w:kern w:val="2"/>
          <w:sz w:val="24"/>
          <w:szCs w:val="24"/>
          <w:lang w:val="en-US" w:eastAsia="zh-CN"/>
        </w:rPr>
        <w:t>0</w:t>
      </w:r>
      <w:r>
        <w:rPr>
          <w:rFonts w:hint="default" w:ascii="Times New Roman" w:hAnsi="Times New Roman" w:eastAsia="宋体" w:cs="Times New Roman"/>
          <w:kern w:val="2"/>
          <w:sz w:val="24"/>
          <w:szCs w:val="24"/>
          <w:lang w:eastAsia="zh-CN"/>
        </w:rPr>
        <w:t>日，协议各方均按照《募集资金三方监管协议》的规定行使权利、履行义务。</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公司于2024年12月11日召开第十届董事会第二十九次会议，审议通过了《关于使用募集资金置换预先投入项目的自有资金的议案》，同意公司使用非公开发行股票募集资金置换在募集资金到位前已预先投入募投项目及支付发行费用的自有资金合计243.285.92万元。截至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月3</w:t>
      </w:r>
      <w:r>
        <w:rPr>
          <w:rFonts w:hint="default" w:ascii="Times New Roman" w:hAnsi="Times New Roman" w:eastAsia="宋体" w:cs="Times New Roman"/>
          <w:kern w:val="2"/>
          <w:sz w:val="24"/>
          <w:szCs w:val="24"/>
          <w:lang w:val="en-US" w:eastAsia="zh-CN"/>
        </w:rPr>
        <w:t>0</w:t>
      </w:r>
      <w:r>
        <w:rPr>
          <w:rFonts w:hint="default" w:ascii="Times New Roman" w:hAnsi="Times New Roman" w:eastAsia="宋体" w:cs="Times New Roman"/>
          <w:kern w:val="2"/>
          <w:sz w:val="24"/>
          <w:szCs w:val="24"/>
          <w:lang w:eastAsia="zh-CN"/>
        </w:rPr>
        <w:t>日，2024年向特定对象发行股票募集资金存储情况如下:</w:t>
      </w:r>
    </w:p>
    <w:p>
      <w:pPr>
        <w:widowControl/>
        <w:spacing w:line="400" w:lineRule="exact"/>
        <w:ind w:firstLine="420" w:firstLineChars="200"/>
        <w:jc w:val="righ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单位：元</w:t>
      </w:r>
    </w:p>
    <w:tbl>
      <w:tblPr>
        <w:tblStyle w:val="11"/>
        <w:tblW w:w="5000" w:type="pct"/>
        <w:tblInd w:w="0" w:type="dxa"/>
        <w:tblLayout w:type="fixed"/>
        <w:tblCellMar>
          <w:top w:w="0" w:type="dxa"/>
          <w:left w:w="108" w:type="dxa"/>
          <w:bottom w:w="0" w:type="dxa"/>
          <w:right w:w="108" w:type="dxa"/>
        </w:tblCellMar>
      </w:tblPr>
      <w:tblGrid>
        <w:gridCol w:w="1977"/>
        <w:gridCol w:w="2668"/>
        <w:gridCol w:w="2408"/>
        <w:gridCol w:w="1475"/>
      </w:tblGrid>
      <w:tr>
        <w:tblPrEx>
          <w:tblCellMar>
            <w:top w:w="0" w:type="dxa"/>
            <w:left w:w="108" w:type="dxa"/>
            <w:bottom w:w="0" w:type="dxa"/>
            <w:right w:w="108" w:type="dxa"/>
          </w:tblCellMar>
        </w:tblPrEx>
        <w:trPr>
          <w:trHeight w:val="260" w:hRule="atLeast"/>
        </w:trPr>
        <w:tc>
          <w:tcPr>
            <w:tcW w:w="115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本方单位</w:t>
            </w:r>
          </w:p>
        </w:tc>
        <w:tc>
          <w:tcPr>
            <w:tcW w:w="15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银行机构名称</w:t>
            </w:r>
          </w:p>
        </w:tc>
        <w:tc>
          <w:tcPr>
            <w:tcW w:w="141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银行账号</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val="en-US" w:eastAsia="zh-CN" w:bidi="ar"/>
              </w:rPr>
              <w:t>期</w:t>
            </w:r>
            <w:r>
              <w:rPr>
                <w:rFonts w:hint="default" w:ascii="Times New Roman" w:hAnsi="Times New Roman" w:cs="Times New Roman"/>
                <w:color w:val="000000"/>
                <w:kern w:val="0"/>
                <w:sz w:val="21"/>
                <w:szCs w:val="21"/>
                <w:lang w:bidi="ar"/>
              </w:rPr>
              <w:t>末余额</w:t>
            </w:r>
          </w:p>
        </w:tc>
      </w:tr>
      <w:tr>
        <w:tblPrEx>
          <w:tblCellMar>
            <w:top w:w="0" w:type="dxa"/>
            <w:left w:w="108" w:type="dxa"/>
            <w:bottom w:w="0" w:type="dxa"/>
            <w:right w:w="108" w:type="dxa"/>
          </w:tblCellMar>
        </w:tblPrEx>
        <w:trPr>
          <w:trHeight w:val="33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国家能源集团长源电力股份有限公司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中信银行股份有限公司武汉分行营业部</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8111501011001241639</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64,399,019.72</w:t>
            </w:r>
          </w:p>
        </w:tc>
      </w:tr>
      <w:tr>
        <w:tblPrEx>
          <w:tblCellMar>
            <w:top w:w="0" w:type="dxa"/>
            <w:left w:w="108" w:type="dxa"/>
            <w:bottom w:w="0" w:type="dxa"/>
            <w:right w:w="108" w:type="dxa"/>
          </w:tblCellMar>
        </w:tblPrEx>
        <w:trPr>
          <w:trHeight w:val="33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国能长源汉川发电有限公司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中国农业银行股份有限公司汉川市支行</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17531201040026504</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33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国能长源谷城新能源有限公司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中信银行股份有限公司武汉分行营业部</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8111501011701244229</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936,586.07</w:t>
            </w:r>
          </w:p>
        </w:tc>
      </w:tr>
      <w:tr>
        <w:tblPrEx>
          <w:tblCellMar>
            <w:top w:w="0" w:type="dxa"/>
            <w:left w:w="108" w:type="dxa"/>
            <w:bottom w:w="0" w:type="dxa"/>
            <w:right w:w="108" w:type="dxa"/>
          </w:tblCellMar>
        </w:tblPrEx>
        <w:trPr>
          <w:trHeight w:val="26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国能长源随县新能源有限公司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中国建设银行股份有限公司随县支行</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42050181004100000912</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26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国能长源巴东新能源有限公司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中国建设银行股份有限公司武汉梨园支行</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eastAsia="Arial Narrow" w:cs="Times New Roman"/>
                <w:color w:val="000000"/>
                <w:sz w:val="21"/>
                <w:szCs w:val="21"/>
              </w:rPr>
            </w:pPr>
            <w:r>
              <w:rPr>
                <w:rFonts w:hint="default" w:ascii="Times New Roman" w:hAnsi="Times New Roman" w:eastAsia="Arial Narrow" w:cs="Times New Roman"/>
                <w:color w:val="000000"/>
                <w:kern w:val="0"/>
                <w:sz w:val="21"/>
                <w:szCs w:val="21"/>
                <w:lang w:bidi="ar"/>
              </w:rPr>
              <w:t>42050186575700001406</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26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国能长源荆门屈家岭新能源有限公司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中国农业银行股份有限公司五三农场支行</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eastAsia="Arial Narrow" w:cs="Times New Roman"/>
                <w:color w:val="000000"/>
                <w:sz w:val="21"/>
                <w:szCs w:val="21"/>
              </w:rPr>
            </w:pPr>
            <w:r>
              <w:rPr>
                <w:rFonts w:hint="default" w:ascii="Times New Roman" w:hAnsi="Times New Roman" w:eastAsia="Arial Narrow" w:cs="Times New Roman"/>
                <w:color w:val="000000"/>
                <w:kern w:val="0"/>
                <w:sz w:val="21"/>
                <w:szCs w:val="21"/>
                <w:lang w:bidi="ar"/>
              </w:rPr>
              <w:t>17551201040018043</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26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国能长源钟祥新能源有限公司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中国农业银行股份有限公司荆门向阳支行</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eastAsia="Arial Narrow" w:cs="Times New Roman"/>
                <w:color w:val="000000"/>
                <w:sz w:val="21"/>
                <w:szCs w:val="21"/>
              </w:rPr>
            </w:pPr>
            <w:r>
              <w:rPr>
                <w:rFonts w:hint="default" w:ascii="Times New Roman" w:hAnsi="Times New Roman" w:eastAsia="Arial Narrow" w:cs="Times New Roman"/>
                <w:color w:val="000000"/>
                <w:kern w:val="0"/>
                <w:sz w:val="21"/>
                <w:szCs w:val="21"/>
                <w:lang w:bidi="ar"/>
              </w:rPr>
              <w:t>17568101040029142</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26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国能长源荆州新能源有限公司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中国建设银行股份有限公司荆州三湾支行</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eastAsia="Arial Narrow" w:cs="Times New Roman"/>
                <w:color w:val="000000"/>
                <w:sz w:val="21"/>
                <w:szCs w:val="21"/>
              </w:rPr>
            </w:pPr>
            <w:r>
              <w:rPr>
                <w:rFonts w:hint="default" w:ascii="Times New Roman" w:hAnsi="Times New Roman" w:eastAsia="Arial Narrow" w:cs="Times New Roman"/>
                <w:color w:val="000000"/>
                <w:kern w:val="0"/>
                <w:sz w:val="21"/>
                <w:szCs w:val="21"/>
                <w:lang w:bidi="ar"/>
              </w:rPr>
              <w:t>42050162610100001185</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jc w:val="left"/>
              <w:rPr>
                <w:rFonts w:hint="default" w:ascii="Times New Roman" w:hAnsi="Times New Roman" w:eastAsia="Arial Narrow" w:cs="Times New Roman"/>
                <w:color w:val="000000"/>
                <w:sz w:val="21"/>
                <w:szCs w:val="21"/>
              </w:rPr>
            </w:pPr>
          </w:p>
        </w:tc>
      </w:tr>
      <w:tr>
        <w:tblPrEx>
          <w:tblCellMar>
            <w:top w:w="0" w:type="dxa"/>
            <w:left w:w="108" w:type="dxa"/>
            <w:bottom w:w="0" w:type="dxa"/>
            <w:right w:w="108" w:type="dxa"/>
          </w:tblCellMar>
        </w:tblPrEx>
        <w:trPr>
          <w:trHeight w:val="260" w:hRule="atLeast"/>
        </w:trPr>
        <w:tc>
          <w:tcPr>
            <w:tcW w:w="1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国能长源潜江新能源有限公司</w:t>
            </w:r>
          </w:p>
        </w:tc>
        <w:tc>
          <w:tcPr>
            <w:tcW w:w="15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中国建设银行股份有限公司荆州三湾支行</w:t>
            </w:r>
          </w:p>
        </w:tc>
        <w:tc>
          <w:tcPr>
            <w:tcW w:w="14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hint="default" w:ascii="Times New Roman" w:hAnsi="Times New Roman" w:eastAsia="Arial Narrow" w:cs="Times New Roman"/>
                <w:color w:val="000000"/>
                <w:sz w:val="21"/>
                <w:szCs w:val="21"/>
              </w:rPr>
            </w:pPr>
            <w:r>
              <w:rPr>
                <w:rFonts w:hint="default" w:ascii="Times New Roman" w:hAnsi="Times New Roman" w:eastAsia="Arial Narrow" w:cs="Times New Roman"/>
                <w:color w:val="000000"/>
                <w:kern w:val="0"/>
                <w:sz w:val="21"/>
                <w:szCs w:val="21"/>
                <w:lang w:bidi="ar"/>
              </w:rPr>
              <w:t>42050162610100001186</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260" w:hRule="atLeast"/>
        </w:trPr>
        <w:tc>
          <w:tcPr>
            <w:tcW w:w="4135" w:type="pct"/>
            <w:gridSpan w:val="3"/>
            <w:tcBorders>
              <w:top w:val="single" w:color="000000" w:sz="4" w:space="0"/>
              <w:left w:val="single" w:color="000000" w:sz="4" w:space="0"/>
              <w:bottom w:val="single" w:color="000000" w:sz="4" w:space="0"/>
              <w:right w:val="single" w:color="000000" w:sz="4" w:space="0"/>
            </w:tcBorders>
            <w:noWrap/>
            <w:vAlign w:val="center"/>
          </w:tcPr>
          <w:p>
            <w:pPr>
              <w:ind w:firstLine="3360" w:firstLineChars="16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合  计</w:t>
            </w:r>
          </w:p>
        </w:tc>
        <w:tc>
          <w:tcPr>
            <w:tcW w:w="864" w:type="pct"/>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65,335,605.79</w:t>
            </w:r>
          </w:p>
        </w:tc>
      </w:tr>
    </w:tbl>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p>
    <w:p>
      <w:pPr>
        <w:widowControl/>
        <w:spacing w:after="0" w:line="380" w:lineRule="exact"/>
        <w:ind w:firstLine="482" w:firstLineChars="200"/>
        <w:jc w:val="both"/>
        <w:rPr>
          <w:rFonts w:hint="default" w:ascii="Times New Roman" w:hAnsi="Times New Roman" w:eastAsia="宋体" w:cs="Times New Roman"/>
          <w:b/>
          <w:bCs/>
          <w:kern w:val="2"/>
          <w:sz w:val="24"/>
          <w:szCs w:val="24"/>
          <w:lang w:eastAsia="zh-CN"/>
        </w:rPr>
      </w:pPr>
      <w:r>
        <w:rPr>
          <w:rFonts w:hint="default" w:ascii="Times New Roman" w:hAnsi="Times New Roman" w:eastAsia="宋体" w:cs="Times New Roman"/>
          <w:b/>
          <w:bCs/>
          <w:kern w:val="2"/>
          <w:sz w:val="24"/>
          <w:szCs w:val="24"/>
          <w:lang w:eastAsia="zh-CN"/>
        </w:rPr>
        <w:t>三、</w:t>
      </w:r>
      <w:r>
        <w:rPr>
          <w:rFonts w:hint="default" w:ascii="Times New Roman" w:hAnsi="Times New Roman" w:eastAsia="宋体" w:cs="Times New Roman"/>
          <w:b/>
          <w:bCs/>
          <w:kern w:val="2"/>
          <w:sz w:val="24"/>
          <w:szCs w:val="24"/>
          <w:lang w:val="en-US" w:eastAsia="zh-CN"/>
        </w:rPr>
        <w:t>上半年</w:t>
      </w:r>
      <w:r>
        <w:rPr>
          <w:rFonts w:hint="default" w:ascii="Times New Roman" w:hAnsi="Times New Roman" w:eastAsia="宋体" w:cs="Times New Roman"/>
          <w:b/>
          <w:bCs/>
          <w:kern w:val="2"/>
          <w:sz w:val="24"/>
          <w:szCs w:val="24"/>
          <w:lang w:eastAsia="zh-CN"/>
        </w:rPr>
        <w:t>募集资金的实际使用情况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（一）募集资金投资项目的资金使用情况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cs="Times New Roman"/>
          <w:color w:val="auto"/>
          <w:sz w:val="24"/>
        </w:rPr>
        <w:t>截至</w:t>
      </w:r>
      <w:r>
        <w:rPr>
          <w:rFonts w:hint="default" w:ascii="Times New Roman" w:hAnsi="Times New Roman" w:eastAsia="宋体" w:cs="Times New Roman"/>
          <w:kern w:val="2"/>
          <w:sz w:val="24"/>
          <w:szCs w:val="24"/>
          <w:lang w:eastAsia="zh-CN"/>
        </w:rPr>
        <w:t>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月3</w:t>
      </w:r>
      <w:r>
        <w:rPr>
          <w:rFonts w:hint="default" w:ascii="Times New Roman" w:hAnsi="Times New Roman" w:eastAsia="宋体" w:cs="Times New Roman"/>
          <w:kern w:val="2"/>
          <w:sz w:val="24"/>
          <w:szCs w:val="24"/>
          <w:lang w:val="en-US" w:eastAsia="zh-CN"/>
        </w:rPr>
        <w:t>0</w:t>
      </w:r>
      <w:r>
        <w:rPr>
          <w:rFonts w:hint="default" w:ascii="Times New Roman" w:hAnsi="Times New Roman" w:eastAsia="宋体" w:cs="Times New Roman"/>
          <w:kern w:val="2"/>
          <w:sz w:val="24"/>
          <w:szCs w:val="24"/>
          <w:lang w:eastAsia="zh-CN"/>
        </w:rPr>
        <w:t>日，公司202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上半年</w:t>
      </w:r>
      <w:r>
        <w:rPr>
          <w:rFonts w:hint="default" w:ascii="Times New Roman" w:hAnsi="Times New Roman" w:eastAsia="宋体" w:cs="Times New Roman"/>
          <w:kern w:val="2"/>
          <w:sz w:val="24"/>
          <w:szCs w:val="24"/>
          <w:lang w:eastAsia="zh-CN"/>
        </w:rPr>
        <w:t>募集资金实际使用情况详见附表《</w:t>
      </w:r>
      <w:r>
        <w:rPr>
          <w:rFonts w:hint="default" w:ascii="Times New Roman" w:hAnsi="Times New Roman" w:eastAsia="宋体" w:cs="Times New Roman"/>
          <w:kern w:val="2"/>
          <w:sz w:val="24"/>
          <w:szCs w:val="24"/>
          <w:lang w:val="en-US" w:eastAsia="zh-CN"/>
        </w:rPr>
        <w:t>募集资金使用情况对照表</w:t>
      </w:r>
      <w:r>
        <w:rPr>
          <w:rFonts w:hint="default" w:ascii="Times New Roman" w:hAnsi="Times New Roman" w:eastAsia="宋体" w:cs="Times New Roman"/>
          <w:kern w:val="2"/>
          <w:sz w:val="24"/>
          <w:szCs w:val="24"/>
          <w:lang w:eastAsia="zh-CN"/>
        </w:rPr>
        <w:t>》。</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（二）募集资金投资项目的实施地点、实施方式变更情况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cs="Times New Roman"/>
          <w:color w:val="auto"/>
          <w:sz w:val="24"/>
        </w:rPr>
        <w:t>截至</w:t>
      </w:r>
      <w:r>
        <w:rPr>
          <w:rFonts w:hint="default" w:ascii="Times New Roman" w:hAnsi="Times New Roman" w:eastAsia="宋体" w:cs="Times New Roman"/>
          <w:kern w:val="2"/>
          <w:sz w:val="24"/>
          <w:szCs w:val="24"/>
          <w:lang w:eastAsia="zh-CN"/>
        </w:rPr>
        <w:t>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月3</w:t>
      </w:r>
      <w:r>
        <w:rPr>
          <w:rFonts w:hint="default" w:ascii="Times New Roman" w:hAnsi="Times New Roman" w:eastAsia="宋体" w:cs="Times New Roman"/>
          <w:kern w:val="2"/>
          <w:sz w:val="24"/>
          <w:szCs w:val="24"/>
          <w:lang w:val="en-US" w:eastAsia="zh-CN"/>
        </w:rPr>
        <w:t>0</w:t>
      </w:r>
      <w:r>
        <w:rPr>
          <w:rFonts w:hint="default" w:ascii="Times New Roman" w:hAnsi="Times New Roman" w:eastAsia="宋体" w:cs="Times New Roman"/>
          <w:kern w:val="2"/>
          <w:sz w:val="24"/>
          <w:szCs w:val="24"/>
          <w:lang w:eastAsia="zh-CN"/>
        </w:rPr>
        <w:t>日，公司不存在募集资金投资项目的实施地点、实施方式变更情况。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（三）募集资金投资项目先期投入及置换情况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根据中兴华会计师事务所（特殊普通合伙）出具《国家能源集团长源电力股份有限公司以自筹资金预先投入募集资金投资项目及支付发行费用的鉴证报告》（中兴华核字（2024）第 011515 号），截至 2024年11月5日，公司以自有资金预先投入募集资金使用项目的实际投资额为 349,277.05 万元。2024年12月11日，公司第十届董事会第二十九次会议审议通过</w:t>
      </w:r>
      <w:r>
        <w:rPr>
          <w:rFonts w:hint="default" w:ascii="Times New Roman" w:hAnsi="Times New Roman" w:eastAsia="宋体" w:cs="Times New Roman"/>
          <w:kern w:val="2"/>
          <w:sz w:val="24"/>
          <w:szCs w:val="24"/>
          <w:lang w:val="en-US" w:eastAsia="zh-CN"/>
        </w:rPr>
        <w:t>了</w:t>
      </w:r>
      <w:r>
        <w:rPr>
          <w:rFonts w:hint="default" w:ascii="Times New Roman" w:hAnsi="Times New Roman" w:eastAsia="宋体" w:cs="Times New Roman"/>
          <w:kern w:val="2"/>
          <w:sz w:val="24"/>
          <w:szCs w:val="24"/>
          <w:lang w:eastAsia="zh-CN"/>
        </w:rPr>
        <w:t>《关于使用募集资金置换预先投入项目的自有资金的议案》。公司董事会同意公司以募集资金人民币 243,285.92 万元置换已预先投入募集资金使用项目及支付发行费用的自有资金。公司独立董事、监事会、保荐机构对此发表了同意意见。截至2024年12月12日，前述募集资金置换已实施完成。</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（四）用闲置募集资金暂时补充流动资金情况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cs="Times New Roman"/>
          <w:color w:val="auto"/>
          <w:sz w:val="24"/>
        </w:rPr>
        <w:t>截至</w:t>
      </w:r>
      <w:r>
        <w:rPr>
          <w:rFonts w:hint="default" w:ascii="Times New Roman" w:hAnsi="Times New Roman" w:eastAsia="宋体" w:cs="Times New Roman"/>
          <w:kern w:val="2"/>
          <w:sz w:val="24"/>
          <w:szCs w:val="24"/>
          <w:lang w:eastAsia="zh-CN"/>
        </w:rPr>
        <w:t>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月3</w:t>
      </w:r>
      <w:r>
        <w:rPr>
          <w:rFonts w:hint="default" w:ascii="Times New Roman" w:hAnsi="Times New Roman" w:eastAsia="宋体" w:cs="Times New Roman"/>
          <w:kern w:val="2"/>
          <w:sz w:val="24"/>
          <w:szCs w:val="24"/>
          <w:lang w:val="en-US" w:eastAsia="zh-CN"/>
        </w:rPr>
        <w:t>0</w:t>
      </w:r>
      <w:r>
        <w:rPr>
          <w:rFonts w:hint="default" w:ascii="Times New Roman" w:hAnsi="Times New Roman" w:eastAsia="宋体" w:cs="Times New Roman"/>
          <w:kern w:val="2"/>
          <w:sz w:val="24"/>
          <w:szCs w:val="24"/>
          <w:lang w:eastAsia="zh-CN"/>
        </w:rPr>
        <w:t>日，公司不存在用闲置募集资金暂时补充流动资金的情况。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（五）用闲置募集资金进行现金管理情况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公司于2024年12月11日召开第十届董事会第二十九次会议，审议通过了《关于使用部分暂时闲置募集资金进行现金管理的议案》，会议同意使用最高额不超过人民币2亿元（含本数）的暂时闲置募集资金进行保本型现金管理产品投资，在上述额度内，资金可以滚动使用，使用期限自本次董事会审议通过之日起12个月内有效。</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2025年上半年，公司在</w:t>
      </w:r>
      <w:r>
        <w:rPr>
          <w:rFonts w:hint="default" w:ascii="Times New Roman" w:hAnsi="Times New Roman" w:eastAsia="宋体" w:cs="Times New Roman"/>
          <w:kern w:val="2"/>
          <w:sz w:val="24"/>
          <w:szCs w:val="24"/>
          <w:lang w:val="en-US" w:eastAsia="zh-CN"/>
        </w:rPr>
        <w:t>上述</w:t>
      </w:r>
      <w:r>
        <w:rPr>
          <w:rFonts w:hint="default" w:ascii="Times New Roman" w:hAnsi="Times New Roman" w:eastAsia="宋体" w:cs="Times New Roman"/>
          <w:kern w:val="2"/>
          <w:sz w:val="24"/>
          <w:szCs w:val="24"/>
          <w:lang w:eastAsia="zh-CN"/>
        </w:rPr>
        <w:t>额度范围内使用闲置募集资金以协定存款方式进行保本型现金管理产品投资，</w:t>
      </w:r>
      <w:r>
        <w:rPr>
          <w:rFonts w:hint="eastAsia" w:ascii="Times New Roman" w:hAnsi="Times New Roman" w:eastAsia="宋体" w:cs="Times New Roman"/>
          <w:kern w:val="2"/>
          <w:sz w:val="24"/>
          <w:szCs w:val="24"/>
          <w:lang w:val="en-US" w:eastAsia="zh-CN"/>
        </w:rPr>
        <w:t>报告期内</w:t>
      </w:r>
      <w:r>
        <w:rPr>
          <w:rFonts w:hint="default" w:ascii="Times New Roman" w:hAnsi="Times New Roman" w:eastAsia="宋体" w:cs="Times New Roman"/>
          <w:kern w:val="2"/>
          <w:sz w:val="24"/>
          <w:szCs w:val="24"/>
          <w:lang w:eastAsia="zh-CN"/>
        </w:rPr>
        <w:t>获取存款利息收入17.31万元。截至2025年6月30日，公司使用闲置募集资金以协定存款方式</w:t>
      </w:r>
      <w:r>
        <w:rPr>
          <w:rFonts w:hint="default" w:ascii="Times New Roman" w:hAnsi="Times New Roman" w:eastAsia="宋体" w:cs="Times New Roman"/>
          <w:kern w:val="2"/>
          <w:sz w:val="24"/>
          <w:szCs w:val="24"/>
          <w:lang w:val="en-US" w:eastAsia="zh-CN"/>
        </w:rPr>
        <w:t>进行</w:t>
      </w:r>
      <w:r>
        <w:rPr>
          <w:rFonts w:hint="default" w:ascii="Times New Roman" w:hAnsi="Times New Roman" w:eastAsia="宋体" w:cs="Times New Roman"/>
          <w:kern w:val="2"/>
          <w:sz w:val="24"/>
          <w:szCs w:val="24"/>
          <w:lang w:eastAsia="zh-CN"/>
        </w:rPr>
        <w:t>现金管理情况如下：</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56"/>
        <w:gridCol w:w="1286"/>
        <w:gridCol w:w="1651"/>
        <w:gridCol w:w="1323"/>
        <w:gridCol w:w="1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25"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金融机构名称</w:t>
            </w:r>
          </w:p>
        </w:tc>
        <w:tc>
          <w:tcPr>
            <w:tcW w:w="76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产品名称</w:t>
            </w:r>
          </w:p>
        </w:tc>
        <w:tc>
          <w:tcPr>
            <w:tcW w:w="97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初始投资成本</w:t>
            </w:r>
          </w:p>
        </w:tc>
        <w:tc>
          <w:tcPr>
            <w:tcW w:w="78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年化收益率</w:t>
            </w:r>
          </w:p>
        </w:tc>
        <w:tc>
          <w:tcPr>
            <w:tcW w:w="6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产品期限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825"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中信银行股份有限公司武汉分行</w:t>
            </w:r>
          </w:p>
        </w:tc>
        <w:tc>
          <w:tcPr>
            <w:tcW w:w="760"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协定存款</w:t>
            </w:r>
          </w:p>
        </w:tc>
        <w:tc>
          <w:tcPr>
            <w:tcW w:w="974"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223</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567.57</w:t>
            </w:r>
          </w:p>
        </w:tc>
        <w:tc>
          <w:tcPr>
            <w:tcW w:w="782"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0.</w:t>
            </w:r>
            <w:r>
              <w:rPr>
                <w:rFonts w:hint="default" w:ascii="Times New Roman" w:hAnsi="Times New Roman" w:cs="Times New Roman"/>
                <w:i w:val="0"/>
                <w:iCs w:val="0"/>
                <w:color w:val="000000"/>
                <w:kern w:val="0"/>
                <w:sz w:val="21"/>
                <w:szCs w:val="21"/>
                <w:u w:val="none"/>
                <w:lang w:val="en-US" w:eastAsia="zh-CN" w:bidi="ar"/>
              </w:rPr>
              <w:t>55%</w:t>
            </w:r>
          </w:p>
        </w:tc>
        <w:tc>
          <w:tcPr>
            <w:tcW w:w="656" w:type="pct"/>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cs="Times New Roman"/>
                <w:i w:val="0"/>
                <w:iCs w:val="0"/>
                <w:color w:val="000000"/>
                <w:kern w:val="0"/>
                <w:sz w:val="21"/>
                <w:szCs w:val="21"/>
                <w:u w:val="none"/>
                <w:lang w:val="en-US" w:eastAsia="zh-CN" w:bidi="ar"/>
              </w:rPr>
              <w:t>一年</w:t>
            </w:r>
          </w:p>
        </w:tc>
      </w:tr>
    </w:tbl>
    <w:p>
      <w:pPr>
        <w:pStyle w:val="2"/>
        <w:rPr>
          <w:rFonts w:hint="default" w:ascii="Times New Roman" w:hAnsi="Times New Roman" w:cs="Times New Roman"/>
          <w:lang w:eastAsia="zh-CN"/>
        </w:rPr>
      </w:pP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（六）节余募集资金使用情况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cs="Times New Roman"/>
          <w:color w:val="auto"/>
          <w:sz w:val="24"/>
        </w:rPr>
        <w:t>截至</w:t>
      </w:r>
      <w:r>
        <w:rPr>
          <w:rFonts w:hint="default" w:ascii="Times New Roman" w:hAnsi="Times New Roman" w:eastAsia="宋体" w:cs="Times New Roman"/>
          <w:kern w:val="2"/>
          <w:sz w:val="24"/>
          <w:szCs w:val="24"/>
          <w:lang w:eastAsia="zh-CN"/>
        </w:rPr>
        <w:t>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月3</w:t>
      </w:r>
      <w:r>
        <w:rPr>
          <w:rFonts w:hint="default" w:ascii="Times New Roman" w:hAnsi="Times New Roman" w:eastAsia="宋体" w:cs="Times New Roman"/>
          <w:kern w:val="2"/>
          <w:sz w:val="24"/>
          <w:szCs w:val="24"/>
          <w:lang w:val="en-US" w:eastAsia="zh-CN"/>
        </w:rPr>
        <w:t>0</w:t>
      </w:r>
      <w:r>
        <w:rPr>
          <w:rFonts w:hint="default" w:ascii="Times New Roman" w:hAnsi="Times New Roman" w:eastAsia="宋体" w:cs="Times New Roman"/>
          <w:kern w:val="2"/>
          <w:sz w:val="24"/>
          <w:szCs w:val="24"/>
          <w:lang w:eastAsia="zh-CN"/>
        </w:rPr>
        <w:t>日，公司不存在将募集资金投资项目节余资金用于其他募集资金投资项目或非募集资金投资项目。</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（七）超募资金使用情况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cs="Times New Roman"/>
          <w:color w:val="auto"/>
          <w:sz w:val="24"/>
        </w:rPr>
        <w:t>截至</w:t>
      </w:r>
      <w:r>
        <w:rPr>
          <w:rFonts w:hint="default" w:ascii="Times New Roman" w:hAnsi="Times New Roman" w:eastAsia="宋体" w:cs="Times New Roman"/>
          <w:kern w:val="2"/>
          <w:sz w:val="24"/>
          <w:szCs w:val="24"/>
          <w:lang w:eastAsia="zh-CN"/>
        </w:rPr>
        <w:t>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6</w:t>
      </w:r>
      <w:r>
        <w:rPr>
          <w:rFonts w:hint="default" w:ascii="Times New Roman" w:hAnsi="Times New Roman" w:eastAsia="宋体" w:cs="Times New Roman"/>
          <w:kern w:val="2"/>
          <w:sz w:val="24"/>
          <w:szCs w:val="24"/>
          <w:lang w:eastAsia="zh-CN"/>
        </w:rPr>
        <w:t>月3</w:t>
      </w:r>
      <w:r>
        <w:rPr>
          <w:rFonts w:hint="default" w:ascii="Times New Roman" w:hAnsi="Times New Roman" w:eastAsia="宋体" w:cs="Times New Roman"/>
          <w:kern w:val="2"/>
          <w:sz w:val="24"/>
          <w:szCs w:val="24"/>
          <w:lang w:val="en-US" w:eastAsia="zh-CN"/>
        </w:rPr>
        <w:t>0</w:t>
      </w:r>
      <w:r>
        <w:rPr>
          <w:rFonts w:hint="default" w:ascii="Times New Roman" w:hAnsi="Times New Roman" w:eastAsia="宋体" w:cs="Times New Roman"/>
          <w:kern w:val="2"/>
          <w:sz w:val="24"/>
          <w:szCs w:val="24"/>
          <w:lang w:eastAsia="zh-CN"/>
        </w:rPr>
        <w:t>日，公司不存在超募资金使用的情况。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（八）尚未使用的募集资金用途及去向</w:t>
      </w:r>
    </w:p>
    <w:p>
      <w:pPr>
        <w:widowControl/>
        <w:spacing w:after="0" w:line="380" w:lineRule="exact"/>
        <w:ind w:firstLine="480" w:firstLineChars="200"/>
        <w:jc w:val="both"/>
        <w:rPr>
          <w:rFonts w:hint="eastAsia"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eastAsia="zh-CN"/>
        </w:rPr>
        <w:t>截至2025年6月30日，公司尚未使用的募集资金余额为人民币6,533.56万元（含利息收入），其中3,407.77万元用于汉川市新能源百万千瓦基地二期项目建设，3,079.04万元用于国能长源谷城县冷集镇230MW农光互补光伏发电项目建设，剩余46.75万元为扣除了银行手续费的利息收入。公司严格按照募集资金管理的规范要求，对募集资金实行专户管理，上述尚未使用的募集资金均存放于募集资金银行监管账户</w:t>
      </w:r>
      <w:r>
        <w:rPr>
          <w:rFonts w:hint="eastAsia" w:ascii="Times New Roman" w:hAnsi="Times New Roman" w:eastAsia="宋体" w:cs="Times New Roman"/>
          <w:kern w:val="2"/>
          <w:sz w:val="24"/>
          <w:szCs w:val="24"/>
          <w:lang w:eastAsia="zh-CN"/>
        </w:rPr>
        <w:t>，</w:t>
      </w:r>
      <w:r>
        <w:rPr>
          <w:rFonts w:ascii="宋体" w:hAnsi="宋体" w:eastAsia="宋体" w:cs="宋体"/>
          <w:sz w:val="24"/>
          <w:szCs w:val="24"/>
        </w:rPr>
        <w:t>公司将结合工程进度支付募投项目所需资金</w:t>
      </w:r>
      <w:r>
        <w:rPr>
          <w:rFonts w:hint="eastAsia" w:ascii="宋体" w:hAnsi="宋体" w:eastAsia="宋体" w:cs="宋体"/>
          <w:sz w:val="24"/>
          <w:szCs w:val="24"/>
          <w:lang w:eastAsia="zh-CN"/>
        </w:rPr>
        <w:t>。</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（九）募集资金使用的其他情况</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cs="Times New Roman"/>
          <w:color w:val="auto"/>
          <w:sz w:val="24"/>
        </w:rPr>
        <w:t>截至2025年6月30日</w:t>
      </w:r>
      <w:r>
        <w:rPr>
          <w:rFonts w:hint="default" w:ascii="Times New Roman" w:hAnsi="Times New Roman" w:eastAsia="宋体" w:cs="Times New Roman"/>
          <w:kern w:val="2"/>
          <w:sz w:val="24"/>
          <w:szCs w:val="24"/>
          <w:lang w:eastAsia="zh-CN"/>
        </w:rPr>
        <w:t>，公司不存在募集资金使用的其他情况。</w:t>
      </w:r>
    </w:p>
    <w:p>
      <w:pPr>
        <w:widowControl/>
        <w:spacing w:after="0" w:line="380" w:lineRule="exact"/>
        <w:ind w:firstLine="482" w:firstLineChars="200"/>
        <w:jc w:val="both"/>
        <w:rPr>
          <w:rFonts w:hint="default" w:ascii="Times New Roman" w:hAnsi="Times New Roman" w:eastAsia="宋体" w:cs="Times New Roman"/>
          <w:b/>
          <w:bCs/>
          <w:kern w:val="2"/>
          <w:sz w:val="24"/>
          <w:szCs w:val="24"/>
          <w:lang w:eastAsia="zh-CN"/>
        </w:rPr>
      </w:pPr>
      <w:r>
        <w:rPr>
          <w:rFonts w:hint="default" w:ascii="Times New Roman" w:hAnsi="Times New Roman" w:eastAsia="宋体" w:cs="Times New Roman"/>
          <w:b/>
          <w:bCs/>
          <w:kern w:val="2"/>
          <w:sz w:val="24"/>
          <w:szCs w:val="24"/>
          <w:lang w:eastAsia="zh-CN"/>
        </w:rPr>
        <w:t>四、变更募集资金投资项目的资金使用情况</w:t>
      </w:r>
    </w:p>
    <w:p>
      <w:pPr>
        <w:widowControl/>
        <w:spacing w:after="0" w:line="380" w:lineRule="exact"/>
        <w:ind w:firstLine="480" w:firstLineChars="200"/>
        <w:jc w:val="both"/>
        <w:rPr>
          <w:rFonts w:hint="default" w:ascii="Times New Roman" w:hAnsi="Times New Roman" w:eastAsia="宋体" w:cs="Times New Roman"/>
          <w:b/>
          <w:bCs/>
          <w:kern w:val="2"/>
          <w:sz w:val="24"/>
          <w:szCs w:val="24"/>
          <w:lang w:eastAsia="zh-CN"/>
        </w:rPr>
      </w:pPr>
      <w:r>
        <w:rPr>
          <w:rFonts w:hint="default" w:ascii="Times New Roman" w:hAnsi="Times New Roman" w:eastAsia="宋体" w:cs="Times New Roman"/>
          <w:kern w:val="2"/>
          <w:sz w:val="24"/>
          <w:szCs w:val="24"/>
          <w:lang w:eastAsia="zh-CN"/>
        </w:rPr>
        <w:t>报告期内，公司募集资金投资项目未发生变更。</w:t>
      </w:r>
    </w:p>
    <w:p>
      <w:pPr>
        <w:widowControl/>
        <w:spacing w:after="0" w:line="380" w:lineRule="exact"/>
        <w:ind w:firstLine="480" w:firstLineChars="200"/>
        <w:jc w:val="both"/>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公司均已经按照《上市公司募集资金监管规则》《深圳证券交易所上市公司自律监管指引第1号——主板上市公司规范运作》《国家能源集团长源电力股份有限公司募集资金使用与管理制度》等相关规定，及时、真实、准确、完整地披露了募集资金的存放及实际使用情况，公司募集资金使用</w:t>
      </w:r>
      <w:r>
        <w:rPr>
          <w:rFonts w:hint="eastAsia" w:ascii="Times New Roman" w:hAnsi="Times New Roman" w:eastAsia="宋体" w:cs="Times New Roman"/>
          <w:kern w:val="2"/>
          <w:sz w:val="24"/>
          <w:szCs w:val="24"/>
          <w:lang w:eastAsia="zh-CN"/>
        </w:rPr>
        <w:t>、管理</w:t>
      </w:r>
      <w:r>
        <w:rPr>
          <w:rFonts w:hint="default" w:ascii="Times New Roman" w:hAnsi="Times New Roman" w:eastAsia="宋体" w:cs="Times New Roman"/>
          <w:kern w:val="2"/>
          <w:sz w:val="24"/>
          <w:szCs w:val="24"/>
          <w:lang w:eastAsia="zh-CN"/>
        </w:rPr>
        <w:t>及披露</w:t>
      </w:r>
      <w:r>
        <w:rPr>
          <w:rFonts w:hint="eastAsia" w:ascii="Times New Roman" w:hAnsi="Times New Roman" w:eastAsia="宋体" w:cs="Times New Roman"/>
          <w:kern w:val="2"/>
          <w:sz w:val="24"/>
          <w:szCs w:val="24"/>
          <w:lang w:eastAsia="zh-CN"/>
        </w:rPr>
        <w:t>合法合规</w:t>
      </w:r>
      <w:r>
        <w:rPr>
          <w:rFonts w:hint="default" w:ascii="Times New Roman" w:hAnsi="Times New Roman" w:eastAsia="宋体" w:cs="Times New Roman"/>
          <w:kern w:val="2"/>
          <w:sz w:val="24"/>
          <w:szCs w:val="24"/>
          <w:lang w:eastAsia="zh-CN"/>
        </w:rPr>
        <w:t>。</w:t>
      </w:r>
    </w:p>
    <w:p>
      <w:pPr>
        <w:widowControl/>
        <w:spacing w:after="0" w:line="380" w:lineRule="exact"/>
        <w:ind w:firstLine="480" w:firstLineChars="200"/>
        <w:jc w:val="both"/>
        <w:rPr>
          <w:rFonts w:hint="default" w:ascii="Times New Roman" w:hAnsi="Times New Roman" w:eastAsia="宋体" w:cs="Times New Roman"/>
          <w:kern w:val="2"/>
          <w:sz w:val="24"/>
          <w:szCs w:val="24"/>
          <w:lang w:val="en-US" w:eastAsia="zh-CN"/>
        </w:rPr>
      </w:pPr>
    </w:p>
    <w:p>
      <w:pPr>
        <w:widowControl/>
        <w:spacing w:after="0" w:line="380" w:lineRule="exact"/>
        <w:ind w:firstLine="480" w:firstLineChars="200"/>
        <w:jc w:val="both"/>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特此公告。</w:t>
      </w:r>
    </w:p>
    <w:p>
      <w:pPr>
        <w:widowControl/>
        <w:spacing w:after="0" w:line="380" w:lineRule="exact"/>
        <w:ind w:firstLine="480" w:firstLineChars="200"/>
        <w:jc w:val="both"/>
        <w:rPr>
          <w:rFonts w:hint="default" w:ascii="Times New Roman" w:hAnsi="Times New Roman" w:eastAsia="宋体" w:cs="Times New Roman"/>
          <w:kern w:val="2"/>
          <w:sz w:val="24"/>
          <w:szCs w:val="24"/>
          <w:lang w:val="en-US" w:eastAsia="zh-CN"/>
        </w:rPr>
      </w:pPr>
    </w:p>
    <w:p>
      <w:pPr>
        <w:widowControl/>
        <w:spacing w:after="0" w:line="380" w:lineRule="exact"/>
        <w:ind w:firstLine="480" w:firstLineChars="200"/>
        <w:jc w:val="both"/>
        <w:rPr>
          <w:rFonts w:hint="default" w:ascii="Times New Roman" w:hAnsi="Times New Roman" w:eastAsia="宋体" w:cs="Times New Roman"/>
          <w:kern w:val="2"/>
          <w:sz w:val="24"/>
          <w:szCs w:val="24"/>
          <w:lang w:val="en-US" w:eastAsia="zh-CN"/>
        </w:rPr>
      </w:pPr>
      <w:r>
        <w:rPr>
          <w:rFonts w:hint="default" w:ascii="Times New Roman" w:hAnsi="Times New Roman" w:eastAsia="宋体" w:cs="Times New Roman"/>
          <w:kern w:val="2"/>
          <w:sz w:val="24"/>
          <w:szCs w:val="24"/>
          <w:lang w:val="en-US" w:eastAsia="zh-CN"/>
        </w:rPr>
        <w:t>附表：募集资金使用情况对照表</w:t>
      </w:r>
    </w:p>
    <w:p>
      <w:pPr>
        <w:autoSpaceDE w:val="0"/>
        <w:autoSpaceDN w:val="0"/>
        <w:adjustRightInd w:val="0"/>
        <w:spacing w:before="0" w:beforeLines="0" w:after="0" w:line="380" w:lineRule="exact"/>
        <w:ind w:firstLine="480" w:firstLineChars="200"/>
        <w:jc w:val="right"/>
        <w:rPr>
          <w:rFonts w:hint="default" w:ascii="Times New Roman" w:hAnsi="Times New Roman" w:eastAsia="宋体" w:cs="Times New Roman"/>
          <w:sz w:val="24"/>
          <w:szCs w:val="24"/>
          <w:lang w:eastAsia="zh-CN"/>
        </w:rPr>
      </w:pPr>
    </w:p>
    <w:p>
      <w:pPr>
        <w:spacing w:beforeLines="0" w:after="0" w:line="380" w:lineRule="exact"/>
        <w:contextualSpacing/>
        <w:jc w:val="right"/>
        <w:rPr>
          <w:rFonts w:hint="default" w:ascii="Times New Roman" w:hAnsi="Times New Roman" w:cs="Times New Roman"/>
          <w:sz w:val="24"/>
          <w:lang w:eastAsia="zh-CN"/>
        </w:rPr>
      </w:pPr>
      <w:r>
        <w:rPr>
          <w:rFonts w:hint="default" w:ascii="Times New Roman" w:hAnsi="Times New Roman" w:cs="Times New Roman"/>
          <w:sz w:val="24"/>
          <w:lang w:eastAsia="zh-CN"/>
        </w:rPr>
        <w:t>国家能源集团长源电力股份有限公司董事会</w:t>
      </w:r>
    </w:p>
    <w:p>
      <w:pPr>
        <w:widowControl/>
        <w:spacing w:beforeLines="0" w:after="0" w:line="380" w:lineRule="exact"/>
        <w:ind w:firstLine="5040" w:firstLineChars="2100"/>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202</w:t>
      </w:r>
      <w:r>
        <w:rPr>
          <w:rFonts w:hint="default" w:ascii="Times New Roman" w:hAnsi="Times New Roman" w:eastAsia="宋体" w:cs="Times New Roman"/>
          <w:kern w:val="2"/>
          <w:sz w:val="24"/>
          <w:szCs w:val="24"/>
          <w:lang w:val="en-US" w:eastAsia="zh-CN"/>
        </w:rPr>
        <w:t>5</w:t>
      </w:r>
      <w:r>
        <w:rPr>
          <w:rFonts w:hint="default" w:ascii="Times New Roman" w:hAnsi="Times New Roman" w:eastAsia="宋体" w:cs="Times New Roman"/>
          <w:kern w:val="2"/>
          <w:sz w:val="24"/>
          <w:szCs w:val="24"/>
          <w:lang w:eastAsia="zh-CN"/>
        </w:rPr>
        <w:t>年</w:t>
      </w:r>
      <w:r>
        <w:rPr>
          <w:rFonts w:hint="default" w:ascii="Times New Roman" w:hAnsi="Times New Roman" w:eastAsia="宋体" w:cs="Times New Roman"/>
          <w:kern w:val="2"/>
          <w:sz w:val="24"/>
          <w:szCs w:val="24"/>
          <w:lang w:val="en-US" w:eastAsia="zh-CN"/>
        </w:rPr>
        <w:t>8</w:t>
      </w:r>
      <w:r>
        <w:rPr>
          <w:rFonts w:hint="default" w:ascii="Times New Roman" w:hAnsi="Times New Roman" w:eastAsia="宋体" w:cs="Times New Roman"/>
          <w:kern w:val="2"/>
          <w:sz w:val="24"/>
          <w:szCs w:val="24"/>
          <w:lang w:eastAsia="zh-CN"/>
        </w:rPr>
        <w:t>月2</w:t>
      </w:r>
      <w:r>
        <w:rPr>
          <w:rFonts w:hint="default" w:ascii="Times New Roman" w:hAnsi="Times New Roman" w:eastAsia="宋体" w:cs="Times New Roman"/>
          <w:kern w:val="2"/>
          <w:sz w:val="24"/>
          <w:szCs w:val="24"/>
          <w:lang w:val="en-US" w:eastAsia="zh-CN"/>
        </w:rPr>
        <w:t>3</w:t>
      </w:r>
      <w:r>
        <w:rPr>
          <w:rFonts w:hint="default" w:ascii="Times New Roman" w:hAnsi="Times New Roman" w:eastAsia="宋体" w:cs="Times New Roman"/>
          <w:kern w:val="2"/>
          <w:sz w:val="24"/>
          <w:szCs w:val="24"/>
          <w:lang w:eastAsia="zh-CN"/>
        </w:rPr>
        <w:t>日</w:t>
      </w:r>
    </w:p>
    <w:p>
      <w:pPr>
        <w:pStyle w:val="4"/>
        <w:rPr>
          <w:rFonts w:hint="default" w:ascii="Times New Roman" w:hAnsi="Times New Roman" w:cs="Times New Roman"/>
        </w:rPr>
      </w:pPr>
    </w:p>
    <w:p>
      <w:pPr>
        <w:widowControl/>
        <w:rPr>
          <w:rFonts w:hint="default" w:ascii="Times New Roman" w:hAnsi="Times New Roman" w:cs="Times New Roman"/>
          <w:b/>
          <w:color w:val="000000"/>
          <w:szCs w:val="21"/>
          <w:lang w:eastAsia="zh-CN"/>
        </w:rPr>
        <w:sectPr>
          <w:footerReference r:id="rId5" w:type="default"/>
          <w:pgSz w:w="11906" w:h="16838"/>
          <w:pgMar w:top="1440" w:right="1797" w:bottom="1440" w:left="1797" w:header="737" w:footer="1134" w:gutter="0"/>
          <w:cols w:space="720" w:num="1"/>
        </w:sectPr>
      </w:pPr>
    </w:p>
    <w:tbl>
      <w:tblPr>
        <w:tblStyle w:val="11"/>
        <w:tblW w:w="14082" w:type="dxa"/>
        <w:tblInd w:w="98" w:type="dxa"/>
        <w:tblLayout w:type="fixed"/>
        <w:tblCellMar>
          <w:top w:w="0" w:type="dxa"/>
          <w:left w:w="108" w:type="dxa"/>
          <w:bottom w:w="0" w:type="dxa"/>
          <w:right w:w="108" w:type="dxa"/>
        </w:tblCellMar>
      </w:tblPr>
      <w:tblGrid>
        <w:gridCol w:w="2703"/>
        <w:gridCol w:w="849"/>
        <w:gridCol w:w="1135"/>
        <w:gridCol w:w="1134"/>
        <w:gridCol w:w="1134"/>
        <w:gridCol w:w="1133"/>
        <w:gridCol w:w="1133"/>
        <w:gridCol w:w="1312"/>
        <w:gridCol w:w="1101"/>
        <w:gridCol w:w="1417"/>
        <w:gridCol w:w="1024"/>
        <w:gridCol w:w="7"/>
      </w:tblGrid>
      <w:tr>
        <w:tblPrEx>
          <w:tblCellMar>
            <w:top w:w="0" w:type="dxa"/>
            <w:left w:w="108" w:type="dxa"/>
            <w:bottom w:w="0" w:type="dxa"/>
            <w:right w:w="108" w:type="dxa"/>
          </w:tblCellMar>
        </w:tblPrEx>
        <w:trPr>
          <w:gridAfter w:val="1"/>
          <w:wAfter w:w="7" w:type="dxa"/>
          <w:trHeight w:val="347" w:hRule="atLeast"/>
        </w:trPr>
        <w:tc>
          <w:tcPr>
            <w:tcW w:w="3552" w:type="dxa"/>
            <w:gridSpan w:val="2"/>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cs="Times New Roman"/>
                <w:b/>
                <w:color w:val="000000"/>
                <w:sz w:val="22"/>
              </w:rPr>
            </w:pPr>
            <w:r>
              <w:rPr>
                <w:rFonts w:hint="default" w:ascii="Times New Roman" w:hAnsi="Times New Roman" w:cs="Times New Roman"/>
                <w:b/>
                <w:color w:val="000000"/>
                <w:sz w:val="22"/>
                <w:lang w:bidi="ar"/>
              </w:rPr>
              <w:t>附表：</w:t>
            </w:r>
          </w:p>
        </w:tc>
        <w:tc>
          <w:tcPr>
            <w:tcW w:w="1135"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c>
          <w:tcPr>
            <w:tcW w:w="1133"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c>
          <w:tcPr>
            <w:tcW w:w="1133"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c>
          <w:tcPr>
            <w:tcW w:w="1312"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c>
          <w:tcPr>
            <w:tcW w:w="1101"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c>
          <w:tcPr>
            <w:tcW w:w="1417"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c>
          <w:tcPr>
            <w:tcW w:w="1024" w:type="dxa"/>
            <w:tcBorders>
              <w:top w:val="nil"/>
              <w:left w:val="nil"/>
              <w:bottom w:val="nil"/>
              <w:right w:val="nil"/>
            </w:tcBorders>
            <w:shd w:val="clear" w:color="auto" w:fill="auto"/>
            <w:noWrap/>
            <w:vAlign w:val="center"/>
          </w:tcPr>
          <w:p>
            <w:pPr>
              <w:jc w:val="center"/>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463" w:hRule="atLeast"/>
        </w:trPr>
        <w:tc>
          <w:tcPr>
            <w:tcW w:w="14082" w:type="dxa"/>
            <w:gridSpan w:val="12"/>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募集资金使用情况对照表</w:t>
            </w:r>
          </w:p>
        </w:tc>
      </w:tr>
      <w:tr>
        <w:tblPrEx>
          <w:tblCellMar>
            <w:top w:w="0" w:type="dxa"/>
            <w:left w:w="108" w:type="dxa"/>
            <w:bottom w:w="0" w:type="dxa"/>
            <w:right w:w="108" w:type="dxa"/>
          </w:tblCellMar>
        </w:tblPrEx>
        <w:trPr>
          <w:trHeight w:val="239" w:hRule="atLeast"/>
        </w:trPr>
        <w:tc>
          <w:tcPr>
            <w:tcW w:w="14082" w:type="dxa"/>
            <w:gridSpan w:val="12"/>
            <w:tcBorders>
              <w:top w:val="nil"/>
              <w:left w:val="nil"/>
              <w:bottom w:val="nil"/>
              <w:right w:val="nil"/>
            </w:tcBorders>
            <w:shd w:val="clear" w:color="auto" w:fill="auto"/>
            <w:noWrap/>
            <w:vAlign w:val="center"/>
          </w:tcPr>
          <w:p>
            <w:pPr>
              <w:widowControl/>
              <w:jc w:val="center"/>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202</w:t>
            </w:r>
            <w:r>
              <w:rPr>
                <w:rFonts w:hint="default" w:ascii="Times New Roman" w:hAnsi="Times New Roman" w:cs="Times New Roman"/>
                <w:b/>
                <w:color w:val="000000"/>
                <w:kern w:val="0"/>
                <w:sz w:val="24"/>
                <w:szCs w:val="24"/>
                <w:lang w:val="en-US" w:eastAsia="zh-CN" w:bidi="ar"/>
              </w:rPr>
              <w:t>5</w:t>
            </w:r>
            <w:r>
              <w:rPr>
                <w:rFonts w:hint="default" w:ascii="Times New Roman" w:hAnsi="Times New Roman" w:cs="Times New Roman"/>
                <w:b/>
                <w:color w:val="000000"/>
                <w:sz w:val="24"/>
                <w:szCs w:val="24"/>
                <w:lang w:bidi="ar"/>
              </w:rPr>
              <w:t>年</w:t>
            </w:r>
            <w:r>
              <w:rPr>
                <w:rFonts w:hint="default" w:ascii="Times New Roman" w:hAnsi="Times New Roman" w:cs="Times New Roman"/>
                <w:b/>
                <w:color w:val="000000"/>
                <w:sz w:val="24"/>
                <w:szCs w:val="24"/>
                <w:lang w:val="en-US" w:eastAsia="zh-CN" w:bidi="ar"/>
              </w:rPr>
              <w:t>半年度</w:t>
            </w:r>
          </w:p>
        </w:tc>
      </w:tr>
      <w:tr>
        <w:tblPrEx>
          <w:tblCellMar>
            <w:top w:w="0" w:type="dxa"/>
            <w:left w:w="108" w:type="dxa"/>
            <w:bottom w:w="0" w:type="dxa"/>
            <w:right w:w="108" w:type="dxa"/>
          </w:tblCellMar>
        </w:tblPrEx>
        <w:trPr>
          <w:gridAfter w:val="1"/>
          <w:wAfter w:w="7" w:type="dxa"/>
          <w:trHeight w:val="289" w:hRule="atLeast"/>
        </w:trPr>
        <w:tc>
          <w:tcPr>
            <w:tcW w:w="2703" w:type="dxa"/>
            <w:tcBorders>
              <w:top w:val="nil"/>
              <w:left w:val="nil"/>
              <w:bottom w:val="nil"/>
              <w:right w:val="nil"/>
            </w:tcBorders>
            <w:shd w:val="clear" w:color="auto" w:fill="auto"/>
            <w:noWrap/>
            <w:vAlign w:val="center"/>
          </w:tcPr>
          <w:p>
            <w:pPr>
              <w:widowControl/>
              <w:jc w:val="left"/>
              <w:textAlignment w:val="center"/>
              <w:rPr>
                <w:rFonts w:hint="default" w:ascii="Times New Roman" w:hAnsi="Times New Roman" w:cs="Times New Roman"/>
                <w:bCs/>
                <w:color w:val="000000"/>
                <w:sz w:val="20"/>
                <w:szCs w:val="20"/>
              </w:rPr>
            </w:pPr>
            <w:r>
              <w:rPr>
                <w:rFonts w:hint="default" w:ascii="Times New Roman" w:hAnsi="Times New Roman" w:cs="Times New Roman"/>
                <w:bCs/>
                <w:color w:val="000000"/>
                <w:kern w:val="0"/>
                <w:sz w:val="20"/>
                <w:szCs w:val="20"/>
                <w:lang w:bidi="ar"/>
              </w:rPr>
              <w:t>编制单位：国家能源集团长源电力股份有限公司</w:t>
            </w:r>
          </w:p>
        </w:tc>
        <w:tc>
          <w:tcPr>
            <w:tcW w:w="849" w:type="dxa"/>
            <w:tcBorders>
              <w:top w:val="nil"/>
              <w:left w:val="nil"/>
              <w:bottom w:val="nil"/>
              <w:right w:val="nil"/>
            </w:tcBorders>
            <w:shd w:val="clear" w:color="auto" w:fill="auto"/>
            <w:noWrap/>
            <w:vAlign w:val="center"/>
          </w:tcPr>
          <w:p>
            <w:pPr>
              <w:rPr>
                <w:rFonts w:hint="default" w:ascii="Times New Roman" w:hAnsi="Times New Roman" w:cs="Times New Roman"/>
                <w:color w:val="000000"/>
                <w:sz w:val="20"/>
                <w:szCs w:val="20"/>
              </w:rPr>
            </w:pPr>
          </w:p>
        </w:tc>
        <w:tc>
          <w:tcPr>
            <w:tcW w:w="1135" w:type="dxa"/>
            <w:tcBorders>
              <w:top w:val="nil"/>
              <w:left w:val="nil"/>
              <w:bottom w:val="nil"/>
              <w:right w:val="nil"/>
            </w:tcBorders>
            <w:shd w:val="clear" w:color="auto" w:fill="auto"/>
            <w:noWrap/>
            <w:vAlign w:val="center"/>
          </w:tcPr>
          <w:p>
            <w:pPr>
              <w:rPr>
                <w:rFonts w:hint="default" w:ascii="Times New Roman" w:hAnsi="Times New Roman" w:cs="Times New Roman"/>
                <w:color w:val="000000"/>
                <w:sz w:val="20"/>
                <w:szCs w:val="20"/>
              </w:rPr>
            </w:pPr>
          </w:p>
        </w:tc>
        <w:tc>
          <w:tcPr>
            <w:tcW w:w="1134" w:type="dxa"/>
            <w:tcBorders>
              <w:top w:val="nil"/>
              <w:left w:val="nil"/>
              <w:bottom w:val="nil"/>
              <w:right w:val="nil"/>
            </w:tcBorders>
            <w:shd w:val="clear" w:color="auto" w:fill="auto"/>
            <w:noWrap/>
            <w:vAlign w:val="center"/>
          </w:tcPr>
          <w:p>
            <w:pPr>
              <w:rPr>
                <w:rFonts w:hint="default" w:ascii="Times New Roman" w:hAnsi="Times New Roman" w:cs="Times New Roman"/>
                <w:color w:val="000000"/>
                <w:sz w:val="20"/>
                <w:szCs w:val="20"/>
              </w:rPr>
            </w:pPr>
          </w:p>
        </w:tc>
        <w:tc>
          <w:tcPr>
            <w:tcW w:w="1134" w:type="dxa"/>
            <w:tcBorders>
              <w:top w:val="nil"/>
              <w:left w:val="nil"/>
              <w:bottom w:val="nil"/>
              <w:right w:val="nil"/>
            </w:tcBorders>
            <w:shd w:val="clear" w:color="auto" w:fill="auto"/>
            <w:noWrap/>
            <w:vAlign w:val="center"/>
          </w:tcPr>
          <w:p>
            <w:pPr>
              <w:rPr>
                <w:rFonts w:hint="default" w:ascii="Times New Roman" w:hAnsi="Times New Roman" w:cs="Times New Roman"/>
                <w:color w:val="000000"/>
                <w:sz w:val="20"/>
                <w:szCs w:val="20"/>
              </w:rPr>
            </w:pPr>
          </w:p>
        </w:tc>
        <w:tc>
          <w:tcPr>
            <w:tcW w:w="1133" w:type="dxa"/>
            <w:tcBorders>
              <w:top w:val="nil"/>
              <w:left w:val="nil"/>
              <w:bottom w:val="nil"/>
              <w:right w:val="nil"/>
            </w:tcBorders>
            <w:shd w:val="clear" w:color="auto" w:fill="auto"/>
            <w:noWrap/>
            <w:vAlign w:val="center"/>
          </w:tcPr>
          <w:p>
            <w:pPr>
              <w:rPr>
                <w:rFonts w:hint="default" w:ascii="Times New Roman" w:hAnsi="Times New Roman" w:cs="Times New Roman"/>
                <w:color w:val="000000"/>
                <w:sz w:val="20"/>
                <w:szCs w:val="20"/>
              </w:rPr>
            </w:pPr>
          </w:p>
        </w:tc>
        <w:tc>
          <w:tcPr>
            <w:tcW w:w="1133" w:type="dxa"/>
            <w:tcBorders>
              <w:top w:val="nil"/>
              <w:left w:val="nil"/>
              <w:bottom w:val="nil"/>
              <w:right w:val="nil"/>
            </w:tcBorders>
            <w:shd w:val="clear" w:color="auto" w:fill="auto"/>
            <w:noWrap/>
            <w:vAlign w:val="center"/>
          </w:tcPr>
          <w:p>
            <w:pPr>
              <w:rPr>
                <w:rFonts w:hint="default" w:ascii="Times New Roman" w:hAnsi="Times New Roman" w:cs="Times New Roman"/>
                <w:color w:val="000000"/>
                <w:sz w:val="20"/>
                <w:szCs w:val="20"/>
              </w:rPr>
            </w:pPr>
          </w:p>
        </w:tc>
        <w:tc>
          <w:tcPr>
            <w:tcW w:w="1312" w:type="dxa"/>
            <w:tcBorders>
              <w:top w:val="nil"/>
              <w:left w:val="nil"/>
              <w:bottom w:val="nil"/>
              <w:right w:val="nil"/>
            </w:tcBorders>
            <w:shd w:val="clear" w:color="auto" w:fill="auto"/>
            <w:noWrap/>
            <w:vAlign w:val="center"/>
          </w:tcPr>
          <w:p>
            <w:pPr>
              <w:rPr>
                <w:rFonts w:hint="default" w:ascii="Times New Roman" w:hAnsi="Times New Roman" w:cs="Times New Roman"/>
                <w:color w:val="000000"/>
                <w:sz w:val="20"/>
                <w:szCs w:val="20"/>
              </w:rPr>
            </w:pPr>
          </w:p>
        </w:tc>
        <w:tc>
          <w:tcPr>
            <w:tcW w:w="3542" w:type="dxa"/>
            <w:gridSpan w:val="3"/>
            <w:tcBorders>
              <w:top w:val="nil"/>
              <w:left w:val="nil"/>
              <w:bottom w:val="single" w:color="000000" w:sz="8" w:space="0"/>
              <w:right w:val="nil"/>
            </w:tcBorders>
            <w:shd w:val="clear" w:color="auto" w:fill="auto"/>
            <w:noWrap/>
            <w:vAlign w:val="center"/>
          </w:tcPr>
          <w:p>
            <w:pPr>
              <w:widowControl/>
              <w:jc w:val="right"/>
              <w:textAlignment w:val="center"/>
              <w:rPr>
                <w:rFonts w:hint="default" w:ascii="Times New Roman" w:hAnsi="Times New Roman" w:cs="Times New Roman"/>
                <w:bCs/>
                <w:color w:val="000000"/>
                <w:sz w:val="20"/>
                <w:szCs w:val="20"/>
              </w:rPr>
            </w:pPr>
            <w:r>
              <w:rPr>
                <w:rFonts w:hint="default" w:ascii="Times New Roman" w:hAnsi="Times New Roman" w:cs="Times New Roman"/>
                <w:bCs/>
                <w:color w:val="000000"/>
                <w:sz w:val="20"/>
                <w:szCs w:val="20"/>
                <w:lang w:bidi="ar"/>
              </w:rPr>
              <w:t>金额单位：人民币万元</w:t>
            </w:r>
          </w:p>
        </w:tc>
      </w:tr>
      <w:tr>
        <w:tblPrEx>
          <w:tblCellMar>
            <w:top w:w="0" w:type="dxa"/>
            <w:left w:w="108" w:type="dxa"/>
            <w:bottom w:w="0" w:type="dxa"/>
            <w:right w:w="108" w:type="dxa"/>
          </w:tblCellMar>
        </w:tblPrEx>
        <w:trPr>
          <w:trHeight w:val="347" w:hRule="atLeast"/>
        </w:trPr>
        <w:tc>
          <w:tcPr>
            <w:tcW w:w="4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募集资金总额</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300,000.00</w:t>
            </w:r>
          </w:p>
        </w:tc>
        <w:tc>
          <w:tcPr>
            <w:tcW w:w="46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本年度投入募集资金总额</w:t>
            </w:r>
          </w:p>
        </w:tc>
        <w:tc>
          <w:tcPr>
            <w:tcW w:w="24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406.44</w:t>
            </w:r>
          </w:p>
        </w:tc>
      </w:tr>
      <w:tr>
        <w:tblPrEx>
          <w:tblCellMar>
            <w:top w:w="0" w:type="dxa"/>
            <w:left w:w="108" w:type="dxa"/>
            <w:bottom w:w="0" w:type="dxa"/>
            <w:right w:w="108" w:type="dxa"/>
          </w:tblCellMar>
        </w:tblPrEx>
        <w:trPr>
          <w:trHeight w:val="347" w:hRule="atLeast"/>
        </w:trPr>
        <w:tc>
          <w:tcPr>
            <w:tcW w:w="4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报告期内变更用途的募集资金总额</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4679"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已累计投入募集资金总额</w:t>
            </w:r>
          </w:p>
        </w:tc>
        <w:tc>
          <w:tcPr>
            <w:tcW w:w="244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293,</w:t>
            </w:r>
            <w:r>
              <w:rPr>
                <w:rFonts w:hint="default" w:ascii="Times New Roman" w:hAnsi="Times New Roman" w:cs="Times New Roman"/>
                <w:kern w:val="0"/>
                <w:sz w:val="18"/>
                <w:szCs w:val="18"/>
                <w:lang w:val="en-US" w:eastAsia="zh-CN" w:bidi="ar"/>
              </w:rPr>
              <w:t>513</w:t>
            </w:r>
            <w:r>
              <w:rPr>
                <w:rFonts w:hint="default" w:ascii="Times New Roman" w:hAnsi="Times New Roman" w:cs="Times New Roman"/>
                <w:kern w:val="0"/>
                <w:sz w:val="18"/>
                <w:szCs w:val="18"/>
                <w:lang w:bidi="ar"/>
              </w:rPr>
              <w:t>.</w:t>
            </w:r>
            <w:r>
              <w:rPr>
                <w:rFonts w:hint="default" w:ascii="Times New Roman" w:hAnsi="Times New Roman" w:cs="Times New Roman"/>
                <w:kern w:val="0"/>
                <w:sz w:val="18"/>
                <w:szCs w:val="18"/>
                <w:lang w:val="en-US" w:eastAsia="zh-CN" w:bidi="ar"/>
              </w:rPr>
              <w:t>26</w:t>
            </w:r>
          </w:p>
        </w:tc>
      </w:tr>
      <w:tr>
        <w:tblPrEx>
          <w:tblCellMar>
            <w:top w:w="0" w:type="dxa"/>
            <w:left w:w="108" w:type="dxa"/>
            <w:bottom w:w="0" w:type="dxa"/>
            <w:right w:w="108" w:type="dxa"/>
          </w:tblCellMar>
        </w:tblPrEx>
        <w:trPr>
          <w:trHeight w:val="347" w:hRule="atLeast"/>
        </w:trPr>
        <w:tc>
          <w:tcPr>
            <w:tcW w:w="4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累计变更用途的募集资金总额</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4679"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cs="Times New Roman"/>
                <w:sz w:val="18"/>
                <w:szCs w:val="18"/>
              </w:rPr>
            </w:pPr>
          </w:p>
        </w:tc>
        <w:tc>
          <w:tcPr>
            <w:tcW w:w="244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trHeight w:val="347" w:hRule="atLeast"/>
        </w:trPr>
        <w:tc>
          <w:tcPr>
            <w:tcW w:w="4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累计变更用途的募集资金总额比例</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4679"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cs="Times New Roman"/>
                <w:sz w:val="18"/>
                <w:szCs w:val="18"/>
              </w:rPr>
            </w:pPr>
          </w:p>
        </w:tc>
        <w:tc>
          <w:tcPr>
            <w:tcW w:w="244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810"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承诺投资项目和超募资金投向</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是否已变更项目（含部分变更）</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募集资金承诺投资总额</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调整后投资总额(1)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本年度投入金额</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截至期末累计投入金额(2)</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截至期末投资进度（%）(3)＝(2)/(1)</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项目达到预定可使用状态日期</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本年度实现的效益</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是否达到预计效益</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项目可行性是否发生重大变化</w:t>
            </w:r>
          </w:p>
        </w:tc>
      </w:tr>
      <w:tr>
        <w:tblPrEx>
          <w:tblCellMar>
            <w:top w:w="0" w:type="dxa"/>
            <w:left w:w="108" w:type="dxa"/>
            <w:bottom w:w="0" w:type="dxa"/>
            <w:right w:w="108" w:type="dxa"/>
          </w:tblCellMar>
        </w:tblPrEx>
        <w:trPr>
          <w:gridAfter w:val="1"/>
          <w:wAfter w:w="7" w:type="dxa"/>
          <w:trHeight w:val="347"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承诺投资项目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47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1、汉川市新能源百万千瓦基地二期项目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en-US" w:bidi="ar-SA"/>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60,562.00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60,562.00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sz w:val="18"/>
                <w:szCs w:val="18"/>
                <w:lang w:eastAsia="zh-CN"/>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57,154.23</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94.37%</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已完成并网</w:t>
            </w:r>
            <w:r>
              <w:rPr>
                <w:rFonts w:hint="default" w:ascii="Times New Roman" w:hAnsi="Times New Roman" w:cs="Times New Roman"/>
                <w:kern w:val="0"/>
                <w:sz w:val="18"/>
                <w:szCs w:val="18"/>
                <w:lang w:val="en-US" w:eastAsia="zh-CN" w:bidi="ar"/>
              </w:rPr>
              <w:br w:type="textWrapping"/>
            </w:r>
            <w:r>
              <w:rPr>
                <w:rFonts w:hint="default" w:ascii="Times New Roman" w:hAnsi="Times New Roman" w:cs="Times New Roman"/>
                <w:kern w:val="0"/>
                <w:sz w:val="18"/>
                <w:szCs w:val="18"/>
                <w:lang w:val="en-US" w:eastAsia="zh-CN" w:bidi="ar"/>
              </w:rPr>
              <w:t xml:space="preserve">20.4万千瓦 </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-487.44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47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2、汉川市新能源百万千瓦基地三期项目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41,418.00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41,418.00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sz w:val="18"/>
                <w:szCs w:val="18"/>
                <w:lang w:eastAsia="zh-CN"/>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41,418.00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已完成并网16.2万千瓦 </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-710.97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752"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3、国能长源随州市随县百万千瓦新能源多能互补基地二期</w:t>
            </w:r>
            <w:r>
              <w:rPr>
                <w:rFonts w:hint="default" w:ascii="Times New Roman" w:hAnsi="Times New Roman" w:cs="Times New Roman"/>
                <w:sz w:val="18"/>
                <w:szCs w:val="18"/>
                <w:lang w:bidi="ar"/>
              </w:rPr>
              <w:t>100MW项目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16,800.00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16,800.00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sz w:val="18"/>
                <w:szCs w:val="18"/>
                <w:lang w:eastAsia="zh-CN"/>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16,800.00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2025年5月30日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-413.00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824"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4、国能长源荆门市源网荷储百万千瓦级新能源基地钟祥子项目光伏电站</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25,820.00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25,820.00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25,820.00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已完成并网30万千瓦 </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-425.68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440"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5、国能长源潜江浩口</w:t>
            </w:r>
            <w:r>
              <w:rPr>
                <w:rFonts w:hint="default" w:ascii="Times New Roman" w:hAnsi="Times New Roman" w:cs="Times New Roman"/>
                <w:sz w:val="18"/>
                <w:szCs w:val="18"/>
                <w:lang w:bidi="ar"/>
              </w:rPr>
              <w:t>200MW渔光互补光伏发电项目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30,710.00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30,710.00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30,710.00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已完成并网17万千瓦 </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-585.68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442"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6、国能长源谷城县冷集镇</w:t>
            </w:r>
            <w:r>
              <w:rPr>
                <w:rFonts w:hint="default" w:ascii="Times New Roman" w:hAnsi="Times New Roman" w:cs="Times New Roman"/>
                <w:sz w:val="18"/>
                <w:szCs w:val="18"/>
                <w:lang w:bidi="ar"/>
              </w:rPr>
              <w:t>230MW农光互补光伏发电项目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35,400.00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35,400.00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18"/>
                <w:szCs w:val="18"/>
              </w:rPr>
              <w:t>406.44</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kern w:val="0"/>
                <w:sz w:val="18"/>
                <w:szCs w:val="18"/>
                <w:lang w:bidi="ar"/>
              </w:rPr>
              <w:t>3</w:t>
            </w:r>
            <w:r>
              <w:rPr>
                <w:rFonts w:hint="default" w:ascii="Times New Roman" w:hAnsi="Times New Roman" w:cs="Times New Roman"/>
                <w:kern w:val="0"/>
                <w:sz w:val="18"/>
                <w:szCs w:val="18"/>
                <w:lang w:val="en-US" w:eastAsia="zh-CN" w:bidi="ar"/>
              </w:rPr>
              <w:t>2</w:t>
            </w:r>
            <w:r>
              <w:rPr>
                <w:rFonts w:hint="default" w:ascii="Times New Roman" w:hAnsi="Times New Roman" w:cs="Times New Roman"/>
                <w:kern w:val="0"/>
                <w:sz w:val="18"/>
                <w:szCs w:val="18"/>
                <w:lang w:bidi="ar"/>
              </w:rPr>
              <w:t>,</w:t>
            </w:r>
            <w:r>
              <w:rPr>
                <w:rFonts w:hint="default" w:ascii="Times New Roman" w:hAnsi="Times New Roman" w:cs="Times New Roman"/>
                <w:kern w:val="0"/>
                <w:sz w:val="18"/>
                <w:szCs w:val="18"/>
                <w:lang w:val="en-US" w:eastAsia="zh-CN" w:bidi="ar"/>
              </w:rPr>
              <w:t>320</w:t>
            </w:r>
            <w:r>
              <w:rPr>
                <w:rFonts w:hint="default" w:ascii="Times New Roman" w:hAnsi="Times New Roman" w:cs="Times New Roman"/>
                <w:kern w:val="0"/>
                <w:sz w:val="18"/>
                <w:szCs w:val="18"/>
                <w:lang w:bidi="ar"/>
              </w:rPr>
              <w:t>.</w:t>
            </w:r>
            <w:r>
              <w:rPr>
                <w:rFonts w:hint="default" w:ascii="Times New Roman" w:hAnsi="Times New Roman" w:cs="Times New Roman"/>
                <w:kern w:val="0"/>
                <w:sz w:val="18"/>
                <w:szCs w:val="18"/>
                <w:lang w:val="en-US" w:eastAsia="zh-CN" w:bidi="ar"/>
              </w:rPr>
              <w:t>96</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90.15%</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已完成并网11.01万千瓦 </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240.82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93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7、国能长源荆州市纪南镇</w:t>
            </w:r>
            <w:r>
              <w:rPr>
                <w:rFonts w:hint="default" w:ascii="Times New Roman" w:hAnsi="Times New Roman" w:cs="Times New Roman"/>
                <w:sz w:val="18"/>
                <w:szCs w:val="18"/>
                <w:lang w:bidi="ar"/>
              </w:rPr>
              <w:t>100MW渔光互补光伏发电项目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12,940.00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12,940.00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12,940.00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2024年9月12日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-626.66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93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8、国能长源巴东县沿渡河镇</w:t>
            </w:r>
            <w:r>
              <w:rPr>
                <w:rFonts w:hint="default" w:ascii="Times New Roman" w:hAnsi="Times New Roman" w:cs="Times New Roman"/>
                <w:sz w:val="18"/>
                <w:szCs w:val="18"/>
                <w:lang w:bidi="ar"/>
              </w:rPr>
              <w:t>100MW农光互补光伏发电项目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13,632.00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13,632.00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13,632.00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2024年11月27日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13.93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93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9、国能长源荆门屈家岭罗汉寺70MW农光互补光伏发电项目（一期）</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7,505.00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7,505.00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7,505.00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2024年3月6日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-91.78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sz w:val="18"/>
                <w:szCs w:val="18"/>
                <w:lang w:eastAsia="zh-CN"/>
              </w:rPr>
            </w:pPr>
            <w:r>
              <w:rPr>
                <w:rFonts w:hint="default" w:ascii="Times New Roman" w:hAnsi="Times New Roman" w:cs="Times New Roman"/>
                <w:kern w:val="0"/>
                <w:sz w:val="18"/>
                <w:szCs w:val="18"/>
                <w:lang w:val="en-US" w:eastAsia="zh-CN" w:bidi="ar"/>
              </w:rPr>
              <w:t>否</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277"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10、国电长源谷城县盛康镇</w:t>
            </w:r>
            <w:r>
              <w:rPr>
                <w:rFonts w:hint="default" w:ascii="Times New Roman" w:hAnsi="Times New Roman" w:cs="Times New Roman"/>
                <w:sz w:val="18"/>
                <w:szCs w:val="18"/>
                <w:lang w:bidi="ar"/>
              </w:rPr>
              <w:t>50MW农光互补光伏发电项目</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7,545.00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7,545.00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7,545.00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100.00%</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2025年7月10日</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val="en-US" w:eastAsia="zh-CN" w:bidi="ar"/>
              </w:rPr>
              <w:t xml:space="preserve"> -215.13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否</w:t>
            </w:r>
          </w:p>
        </w:tc>
      </w:tr>
      <w:tr>
        <w:tblPrEx>
          <w:tblCellMar>
            <w:top w:w="0" w:type="dxa"/>
            <w:left w:w="108" w:type="dxa"/>
            <w:bottom w:w="0" w:type="dxa"/>
            <w:right w:w="108" w:type="dxa"/>
          </w:tblCellMar>
        </w:tblPrEx>
        <w:trPr>
          <w:gridAfter w:val="1"/>
          <w:wAfter w:w="7" w:type="dxa"/>
          <w:trHeight w:val="279"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11、补充流动资金</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20"/>
                <w:szCs w:val="20"/>
                <w:u w:val="none"/>
                <w:lang w:val="en-US" w:eastAsia="zh-CN" w:bidi="ar"/>
              </w:rPr>
              <w:t xml:space="preserve"> 否 </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47,668.00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47,668.00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val="en-US" w:eastAsia="zh-CN" w:bidi="ar"/>
              </w:rPr>
              <w:t>0</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46,683.44</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97.93%</w:t>
            </w: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kern w:val="0"/>
                <w:sz w:val="18"/>
                <w:szCs w:val="18"/>
                <w:lang w:bidi="ar"/>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35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承诺投资项目小计</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sz w:val="18"/>
                <w:szCs w:val="18"/>
                <w:lang w:val="en-US" w:eastAsia="en-US" w:bidi="ar-SA"/>
              </w:rPr>
            </w:pPr>
            <w:r>
              <w:rPr>
                <w:rFonts w:hint="default" w:ascii="Times New Roman" w:hAnsi="Times New Roman" w:cs="Times New Roman"/>
                <w:kern w:val="0"/>
                <w:sz w:val="18"/>
                <w:szCs w:val="18"/>
                <w:lang w:bidi="ar"/>
              </w:rPr>
              <w:t>300,000.00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sz w:val="18"/>
                <w:szCs w:val="18"/>
                <w:lang w:val="en-US" w:eastAsia="en-US" w:bidi="ar-SA"/>
              </w:rPr>
            </w:pPr>
            <w:r>
              <w:rPr>
                <w:rFonts w:hint="default" w:ascii="Times New Roman" w:hAnsi="Times New Roman" w:cs="Times New Roman"/>
                <w:kern w:val="0"/>
                <w:sz w:val="18"/>
                <w:szCs w:val="18"/>
                <w:lang w:bidi="ar"/>
              </w:rPr>
              <w:t>300,000.00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406.44</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en-US" w:bidi="ar-SA"/>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default" w:ascii="Times New Roman" w:hAnsi="Times New Roman" w:cs="Times New Roman" w:eastAsiaTheme="minorEastAsia"/>
                <w:i w:val="0"/>
                <w:iCs w:val="0"/>
                <w:kern w:val="0"/>
                <w:sz w:val="18"/>
                <w:szCs w:val="18"/>
                <w:u w:val="none"/>
                <w:lang w:val="en-US" w:eastAsia="zh-CN" w:bidi="ar"/>
              </w:rPr>
              <w:t xml:space="preserve">292,528.63 </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lang w:val="en-US" w:eastAsia="en-US" w:bidi="ar-SA"/>
              </w:rPr>
            </w:pPr>
            <w:r>
              <w:rPr>
                <w:rFonts w:hint="default" w:ascii="Times New Roman" w:hAnsi="Times New Roman" w:cs="Times New Roman"/>
                <w:kern w:val="0"/>
                <w:sz w:val="18"/>
                <w:szCs w:val="18"/>
                <w:lang w:val="en-US" w:eastAsia="zh-CN" w:bidi="ar"/>
              </w:rPr>
              <w:t xml:space="preserve"> -3,301.59 </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35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支付承销费</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845.88</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35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置换发行费用及中介机构服务费</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47.17</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35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支付中介机构服务费</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91.51</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35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银行手续费</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0.0</w:t>
            </w:r>
            <w:r>
              <w:rPr>
                <w:rFonts w:hint="default" w:ascii="Times New Roman" w:hAnsi="Times New Roman" w:cs="Times New Roman"/>
                <w:kern w:val="0"/>
                <w:sz w:val="18"/>
                <w:szCs w:val="18"/>
                <w:lang w:val="en-US" w:eastAsia="zh-CN" w:bidi="ar"/>
              </w:rPr>
              <w:t>7</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35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利息收入</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sz w:val="18"/>
                <w:szCs w:val="18"/>
                <w:highlight w:val="none"/>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highlight w:val="none"/>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highlight w:val="none"/>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inorEastAsia"/>
                <w:sz w:val="18"/>
                <w:szCs w:val="18"/>
                <w:highlight w:val="none"/>
                <w:lang w:val="en-US" w:eastAsia="zh-CN"/>
              </w:rPr>
            </w:pPr>
            <w:r>
              <w:rPr>
                <w:rFonts w:hint="eastAsia" w:ascii="Times New Roman" w:hAnsi="Times New Roman" w:cs="Times New Roman"/>
                <w:kern w:val="0"/>
                <w:sz w:val="18"/>
                <w:szCs w:val="18"/>
                <w:highlight w:val="none"/>
                <w:lang w:val="en-US" w:eastAsia="zh-CN" w:bidi="ar"/>
              </w:rPr>
              <w:t>17</w:t>
            </w:r>
            <w:r>
              <w:rPr>
                <w:rFonts w:hint="default" w:ascii="Times New Roman" w:hAnsi="Times New Roman" w:cs="Times New Roman"/>
                <w:kern w:val="0"/>
                <w:sz w:val="18"/>
                <w:szCs w:val="18"/>
                <w:highlight w:val="none"/>
                <w:lang w:bidi="ar"/>
              </w:rPr>
              <w:t>.</w:t>
            </w:r>
            <w:r>
              <w:rPr>
                <w:rFonts w:hint="eastAsia" w:ascii="Times New Roman" w:hAnsi="Times New Roman" w:cs="Times New Roman"/>
                <w:kern w:val="0"/>
                <w:sz w:val="18"/>
                <w:szCs w:val="18"/>
                <w:highlight w:val="none"/>
                <w:lang w:val="en-US" w:eastAsia="zh-CN" w:bidi="ar"/>
              </w:rPr>
              <w:t>67</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highlight w:val="none"/>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35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bCs/>
                <w:sz w:val="18"/>
                <w:szCs w:val="18"/>
              </w:rPr>
            </w:pPr>
            <w:r>
              <w:rPr>
                <w:rFonts w:hint="default" w:ascii="Times New Roman" w:hAnsi="Times New Roman" w:cs="Times New Roman"/>
                <w:bCs/>
                <w:sz w:val="18"/>
                <w:szCs w:val="18"/>
                <w:lang w:val="en-US" w:eastAsia="zh-CN" w:bidi="ar"/>
              </w:rPr>
              <w:t>募集资金累计使用</w:t>
            </w:r>
            <w:r>
              <w:rPr>
                <w:rFonts w:hint="default" w:ascii="Times New Roman" w:hAnsi="Times New Roman" w:cs="Times New Roman"/>
                <w:bCs/>
                <w:sz w:val="18"/>
                <w:szCs w:val="18"/>
                <w:lang w:bidi="ar"/>
              </w:rPr>
              <w:t>小计</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300,000.00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300,000.00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293,</w:t>
            </w:r>
            <w:r>
              <w:rPr>
                <w:rFonts w:hint="default" w:ascii="Times New Roman" w:hAnsi="Times New Roman" w:cs="Times New Roman"/>
                <w:kern w:val="0"/>
                <w:sz w:val="18"/>
                <w:szCs w:val="18"/>
                <w:lang w:val="en-US" w:eastAsia="zh-CN" w:bidi="ar"/>
              </w:rPr>
              <w:t>513</w:t>
            </w:r>
            <w:r>
              <w:rPr>
                <w:rFonts w:hint="default" w:ascii="Times New Roman" w:hAnsi="Times New Roman" w:cs="Times New Roman"/>
                <w:kern w:val="0"/>
                <w:sz w:val="18"/>
                <w:szCs w:val="18"/>
                <w:lang w:bidi="ar"/>
              </w:rPr>
              <w:t>.</w:t>
            </w:r>
            <w:r>
              <w:rPr>
                <w:rFonts w:hint="default" w:ascii="Times New Roman" w:hAnsi="Times New Roman" w:cs="Times New Roman"/>
                <w:kern w:val="0"/>
                <w:sz w:val="18"/>
                <w:szCs w:val="18"/>
                <w:lang w:val="en-US" w:eastAsia="zh-CN" w:bidi="ar"/>
              </w:rPr>
              <w:t>26</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208"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超募资金投向</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77"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bCs/>
                <w:sz w:val="18"/>
                <w:szCs w:val="18"/>
              </w:rPr>
            </w:pPr>
            <w:r>
              <w:rPr>
                <w:rFonts w:hint="default" w:ascii="Times New Roman" w:hAnsi="Times New Roman" w:cs="Times New Roman"/>
                <w:bCs/>
                <w:sz w:val="18"/>
                <w:szCs w:val="18"/>
                <w:lang w:bidi="ar"/>
              </w:rPr>
              <w:t>超募资金投向小计</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gridAfter w:val="1"/>
          <w:wAfter w:w="7" w:type="dxa"/>
          <w:trHeight w:val="139" w:hRule="atLeast"/>
        </w:trPr>
        <w:tc>
          <w:tcPr>
            <w:tcW w:w="2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bCs/>
                <w:sz w:val="18"/>
                <w:szCs w:val="18"/>
              </w:rPr>
            </w:pPr>
            <w:r>
              <w:rPr>
                <w:rFonts w:hint="default" w:ascii="Times New Roman" w:hAnsi="Times New Roman" w:cs="Times New Roman"/>
                <w:bCs/>
                <w:sz w:val="18"/>
                <w:szCs w:val="18"/>
                <w:lang w:bidi="ar"/>
              </w:rPr>
              <w:t>合计</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300,000.00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300,000.00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sz w:val="18"/>
                <w:szCs w:val="18"/>
              </w:rPr>
            </w:pPr>
          </w:p>
        </w:tc>
      </w:tr>
      <w:tr>
        <w:tblPrEx>
          <w:tblCellMar>
            <w:top w:w="0" w:type="dxa"/>
            <w:left w:w="108" w:type="dxa"/>
            <w:bottom w:w="0" w:type="dxa"/>
            <w:right w:w="108" w:type="dxa"/>
          </w:tblCellMar>
        </w:tblPrEx>
        <w:trPr>
          <w:trHeight w:val="382"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未达到计划进度或预计收益的情况和原因</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截至报告期末，汉川市新能源百万千瓦基地二期项目、汉川市新能源百万千瓦基地三期项目、国能长源荆门市源网荷储百万千瓦级新能源基地钟祥子项目、国能长源潜江浩口200MW渔光互补光伏发电项目、国能长源谷城县冷集镇230MW农光互补光伏发电项目均尚未完成全容量并网，因此“是否达到预计效益”列为不适用。</w:t>
            </w:r>
          </w:p>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 xml:space="preserve">国能长源随县百万千瓦新能源多能互补基地二期100MW项目、国能长源荆州市纪南镇100MW渔光互补光伏发电项目、国能长源巴东县沿渡河镇100MW农光互补光伏发电项目、国电长源谷城县盛康镇50MW农光互补光伏发电项目达到预定可使用状态至本报告期末尚不足一个完整年度，因此“是否达到预计效益”列为不适用。                             </w:t>
            </w:r>
          </w:p>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rPr>
              <w:t>国能长源荆门届家岭罗汉寺70MW农光互补光伏发电项目(一期)受《关于深化新能源上网电价市场化改革促进新能源高质量发展的通知》（发改价格〔2025〕136号）政策影响，实际上网电价未达预期，截至报告期末，项目效益暂时未达到预计效益。</w:t>
            </w:r>
          </w:p>
        </w:tc>
      </w:tr>
      <w:tr>
        <w:tblPrEx>
          <w:tblCellMar>
            <w:top w:w="0" w:type="dxa"/>
            <w:left w:w="108" w:type="dxa"/>
            <w:bottom w:w="0" w:type="dxa"/>
            <w:right w:w="108" w:type="dxa"/>
          </w:tblCellMar>
        </w:tblPrEx>
        <w:trPr>
          <w:trHeight w:val="358"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项目可行性发生重大变化的情况说明</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r>
      <w:tr>
        <w:tblPrEx>
          <w:tblCellMar>
            <w:top w:w="0" w:type="dxa"/>
            <w:left w:w="108" w:type="dxa"/>
            <w:bottom w:w="0" w:type="dxa"/>
            <w:right w:w="108" w:type="dxa"/>
          </w:tblCellMar>
        </w:tblPrEx>
        <w:trPr>
          <w:trHeight w:val="382"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超募资金的金额、用途及使用进展情况</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r>
      <w:tr>
        <w:tblPrEx>
          <w:tblCellMar>
            <w:top w:w="0" w:type="dxa"/>
            <w:left w:w="108" w:type="dxa"/>
            <w:bottom w:w="0" w:type="dxa"/>
            <w:right w:w="108" w:type="dxa"/>
          </w:tblCellMar>
        </w:tblPrEx>
        <w:trPr>
          <w:trHeight w:val="347"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募集资金投资项目实施地点变更情况</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r>
      <w:tr>
        <w:tblPrEx>
          <w:tblCellMar>
            <w:top w:w="0" w:type="dxa"/>
            <w:left w:w="108" w:type="dxa"/>
            <w:bottom w:w="0" w:type="dxa"/>
            <w:right w:w="108" w:type="dxa"/>
          </w:tblCellMar>
        </w:tblPrEx>
        <w:trPr>
          <w:trHeight w:val="347"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募集资金投资项目实施方式调整情况</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r>
      <w:tr>
        <w:tblPrEx>
          <w:tblCellMar>
            <w:top w:w="0" w:type="dxa"/>
            <w:left w:w="108" w:type="dxa"/>
            <w:bottom w:w="0" w:type="dxa"/>
            <w:right w:w="108" w:type="dxa"/>
          </w:tblCellMar>
        </w:tblPrEx>
        <w:trPr>
          <w:trHeight w:val="1545"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募集资金投资项目先期投入及置换情况</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Times New Roman" w:hAnsi="Times New Roman" w:cs="Times New Roman"/>
                <w:sz w:val="18"/>
                <w:szCs w:val="18"/>
              </w:rPr>
            </w:pPr>
            <w:r>
              <w:rPr>
                <w:rFonts w:hint="default" w:ascii="Times New Roman" w:hAnsi="Times New Roman" w:eastAsia="宋体" w:cs="Times New Roman"/>
                <w:color w:val="auto"/>
                <w:sz w:val="18"/>
                <w:szCs w:val="18"/>
                <w:highlight w:val="none"/>
                <w:lang w:val="en-US" w:eastAsia="zh-CN" w:bidi="ar-SA"/>
              </w:rPr>
              <w:t>根据中兴华会计师事务所（特殊普通合伙）出具《国家能源集团长源电力股份有限公司以自筹资金预先投入募集资金投资项目及支付发行费用的鉴证报告》（中兴华核字（2024）第 011515 号），截至 2024年11月5日，公司以自有资金预先投入募集资金使用项目的实际投资额为 349,277.05 万元。 2024年12月11日，公司第十届董事会第二十九次会议，审议通过《关于使用募集资金置换预先投入项目的自有资金的议案》。公司董事会同意公司以募集资金人民币 243,285.92 万元置换已预先投入募集资金使用项目及支付发行费用的自有资金。截至2024年12月12日，前述募集资金置换已实施完成。</w:t>
            </w:r>
          </w:p>
        </w:tc>
      </w:tr>
      <w:tr>
        <w:tblPrEx>
          <w:tblCellMar>
            <w:top w:w="0" w:type="dxa"/>
            <w:left w:w="108" w:type="dxa"/>
            <w:bottom w:w="0" w:type="dxa"/>
            <w:right w:w="108" w:type="dxa"/>
          </w:tblCellMar>
        </w:tblPrEx>
        <w:trPr>
          <w:trHeight w:val="347"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用闲置募集资金暂时补充流动资金情况</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r>
      <w:tr>
        <w:tblPrEx>
          <w:tblCellMar>
            <w:top w:w="0" w:type="dxa"/>
            <w:left w:w="108" w:type="dxa"/>
            <w:bottom w:w="0" w:type="dxa"/>
            <w:right w:w="108" w:type="dxa"/>
          </w:tblCellMar>
        </w:tblPrEx>
        <w:trPr>
          <w:trHeight w:val="129"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项目实施出现募集资金节余的金额及原因</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不适用</w:t>
            </w:r>
          </w:p>
        </w:tc>
      </w:tr>
      <w:tr>
        <w:tblPrEx>
          <w:tblCellMar>
            <w:top w:w="0" w:type="dxa"/>
            <w:left w:w="108" w:type="dxa"/>
            <w:bottom w:w="0" w:type="dxa"/>
            <w:right w:w="108" w:type="dxa"/>
          </w:tblCellMar>
        </w:tblPrEx>
        <w:trPr>
          <w:trHeight w:val="347"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尚未使用的募集资金用途及去向</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截至2025年6月30日，公司尚未使用的募集资金余额为人民币6,533.56万元（含利息收入），其中3,407.77万元用于汉川市新能源百万千瓦基地二期项目建设，3,079.04万元用于国能长源谷城县冷集镇230MW农光互补光伏发电项目建设，剩余46.75万元为扣除了银行手续费的利息收入。公司严格按照募集资金管理的规范要求，对募集资金实行专户管理，上述尚未使用的募集资金均存放于募集资金银行监管账户。公司尚未使用的募集资金将结合工程进度支付募投项目所需资金。</w:t>
            </w:r>
          </w:p>
        </w:tc>
      </w:tr>
      <w:tr>
        <w:tblPrEx>
          <w:tblCellMar>
            <w:top w:w="0" w:type="dxa"/>
            <w:left w:w="108" w:type="dxa"/>
            <w:bottom w:w="0" w:type="dxa"/>
            <w:right w:w="108" w:type="dxa"/>
          </w:tblCellMar>
        </w:tblPrEx>
        <w:trPr>
          <w:trHeight w:val="347" w:hRule="atLeast"/>
        </w:trPr>
        <w:tc>
          <w:tcPr>
            <w:tcW w:w="58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imes New Roman" w:hAnsi="Times New Roman" w:cs="Times New Roman"/>
                <w:sz w:val="18"/>
                <w:szCs w:val="18"/>
              </w:rPr>
            </w:pPr>
            <w:r>
              <w:rPr>
                <w:rFonts w:hint="default" w:ascii="Times New Roman" w:hAnsi="Times New Roman" w:cs="Times New Roman"/>
                <w:sz w:val="18"/>
                <w:szCs w:val="18"/>
                <w:lang w:bidi="ar"/>
              </w:rPr>
              <w:t>募集资金使用及披露中存在的问题或其他情况</w:t>
            </w:r>
          </w:p>
        </w:tc>
        <w:tc>
          <w:tcPr>
            <w:tcW w:w="826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sz w:val="18"/>
                <w:szCs w:val="18"/>
              </w:rPr>
            </w:pPr>
            <w:r>
              <w:rPr>
                <w:rFonts w:hint="default" w:ascii="Times New Roman" w:hAnsi="Times New Roman" w:cs="Times New Roman"/>
                <w:kern w:val="0"/>
                <w:sz w:val="18"/>
                <w:szCs w:val="18"/>
                <w:lang w:bidi="ar"/>
              </w:rPr>
              <w:t>无</w:t>
            </w:r>
          </w:p>
        </w:tc>
      </w:tr>
    </w:tbl>
    <w:p>
      <w:pPr>
        <w:pStyle w:val="4"/>
        <w:rPr>
          <w:rFonts w:hint="default" w:ascii="Times New Roman" w:hAnsi="Times New Roman" w:cs="Times New Roman"/>
        </w:rPr>
      </w:pPr>
    </w:p>
    <w:p>
      <w:pPr>
        <w:rPr>
          <w:rFonts w:hint="default" w:ascii="Times New Roman" w:hAnsi="Times New Roman" w:cs="Times New Roman"/>
        </w:rPr>
      </w:pPr>
    </w:p>
    <w:sectPr>
      <w:footerReference r:id="rId6" w:type="default"/>
      <w:pgSz w:w="16838" w:h="11906" w:orient="landscape"/>
      <w:pgMar w:top="1797" w:right="1440" w:bottom="1797"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1"/>
        <w:szCs w:val="21"/>
      </w:rPr>
      <w:id w:val="-1552532203"/>
    </w:sdtPr>
    <w:sdtEndPr>
      <w:rPr>
        <w:rFonts w:ascii="宋体" w:hAnsi="宋体" w:eastAsia="宋体"/>
        <w:sz w:val="18"/>
        <w:szCs w:val="18"/>
      </w:rPr>
    </w:sdtEndPr>
    <w:sdtContent>
      <w:p>
        <w:pPr>
          <w:pStyle w:val="8"/>
          <w:jc w:val="center"/>
          <w:rPr>
            <w:rFonts w:ascii="宋体" w:hAnsi="宋体" w:eastAsia="宋体"/>
          </w:rPr>
        </w:pPr>
        <w:r>
          <w:rPr>
            <w:rFonts w:ascii="宋体" w:hAnsi="宋体" w:eastAsia="宋体" w:cs="Times New Roman"/>
            <w:sz w:val="21"/>
            <w:szCs w:val="21"/>
          </w:rPr>
          <w:fldChar w:fldCharType="begin"/>
        </w:r>
        <w:r>
          <w:rPr>
            <w:rFonts w:ascii="宋体" w:hAnsi="宋体" w:eastAsia="宋体" w:cs="Times New Roman"/>
            <w:sz w:val="21"/>
            <w:szCs w:val="21"/>
          </w:rPr>
          <w:instrText xml:space="preserve">PAGE   \* MERGEFORMAT</w:instrText>
        </w:r>
        <w:r>
          <w:rPr>
            <w:rFonts w:ascii="宋体" w:hAnsi="宋体" w:eastAsia="宋体" w:cs="Times New Roman"/>
            <w:sz w:val="21"/>
            <w:szCs w:val="21"/>
          </w:rPr>
          <w:fldChar w:fldCharType="separate"/>
        </w:r>
        <w:r>
          <w:rPr>
            <w:rFonts w:ascii="宋体" w:hAnsi="宋体" w:eastAsia="宋体" w:cs="Times New Roman"/>
            <w:sz w:val="21"/>
            <w:szCs w:val="21"/>
            <w:lang w:val="zh-CN"/>
          </w:rPr>
          <w:t>2</w:t>
        </w:r>
        <w:r>
          <w:rPr>
            <w:rFonts w:ascii="宋体" w:hAnsi="宋体" w:eastAsia="宋体" w:cs="Times New Roman"/>
            <w:sz w:val="21"/>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087316"/>
    </w:sdtPr>
    <w:sdtEndPr>
      <w:rPr>
        <w:rFonts w:ascii="宋体" w:hAnsi="宋体" w:eastAsia="宋体" w:cs="Times New Roman"/>
        <w:sz w:val="21"/>
        <w:szCs w:val="21"/>
      </w:rPr>
    </w:sdtEndPr>
    <w:sdtContent>
      <w:p>
        <w:pPr>
          <w:pStyle w:val="8"/>
          <w:jc w:val="center"/>
          <w:rPr>
            <w:rFonts w:ascii="宋体" w:hAnsi="宋体" w:eastAsia="宋体" w:cs="Times New Roman"/>
            <w:sz w:val="21"/>
            <w:szCs w:val="21"/>
          </w:rPr>
        </w:pPr>
        <w:r>
          <w:rPr>
            <w:rFonts w:ascii="宋体" w:hAnsi="宋体" w:eastAsia="宋体" w:cs="Times New Roman"/>
            <w:sz w:val="21"/>
            <w:szCs w:val="21"/>
          </w:rPr>
          <w:fldChar w:fldCharType="begin"/>
        </w:r>
        <w:r>
          <w:rPr>
            <w:rFonts w:ascii="宋体" w:hAnsi="宋体" w:eastAsia="宋体" w:cs="Times New Roman"/>
            <w:sz w:val="21"/>
            <w:szCs w:val="21"/>
          </w:rPr>
          <w:instrText xml:space="preserve">PAGE   \* MERGEFORMAT</w:instrText>
        </w:r>
        <w:r>
          <w:rPr>
            <w:rFonts w:ascii="宋体" w:hAnsi="宋体" w:eastAsia="宋体" w:cs="Times New Roman"/>
            <w:sz w:val="21"/>
            <w:szCs w:val="21"/>
          </w:rPr>
          <w:fldChar w:fldCharType="separate"/>
        </w:r>
        <w:r>
          <w:rPr>
            <w:rFonts w:ascii="宋体" w:hAnsi="宋体" w:eastAsia="宋体" w:cs="Times New Roman"/>
            <w:sz w:val="21"/>
            <w:szCs w:val="21"/>
            <w:lang w:val="zh-CN"/>
          </w:rPr>
          <w:t>2</w:t>
        </w:r>
        <w:r>
          <w:rPr>
            <w:rFonts w:ascii="宋体" w:hAnsi="宋体" w:eastAsia="宋体"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9B"/>
    <w:rsid w:val="00010584"/>
    <w:rsid w:val="00022527"/>
    <w:rsid w:val="00022842"/>
    <w:rsid w:val="000376CB"/>
    <w:rsid w:val="000A546B"/>
    <w:rsid w:val="000D0A66"/>
    <w:rsid w:val="000D735B"/>
    <w:rsid w:val="000F1145"/>
    <w:rsid w:val="00151EB7"/>
    <w:rsid w:val="001A7350"/>
    <w:rsid w:val="001B7B3D"/>
    <w:rsid w:val="001F0C4D"/>
    <w:rsid w:val="0022476A"/>
    <w:rsid w:val="00235271"/>
    <w:rsid w:val="002537C4"/>
    <w:rsid w:val="002632FB"/>
    <w:rsid w:val="00284CDF"/>
    <w:rsid w:val="002901FC"/>
    <w:rsid w:val="002B2236"/>
    <w:rsid w:val="002C5487"/>
    <w:rsid w:val="002E4F7C"/>
    <w:rsid w:val="002F0F85"/>
    <w:rsid w:val="00307E20"/>
    <w:rsid w:val="003162CF"/>
    <w:rsid w:val="00352AD3"/>
    <w:rsid w:val="00390C52"/>
    <w:rsid w:val="003E4190"/>
    <w:rsid w:val="003E4A6B"/>
    <w:rsid w:val="0040185E"/>
    <w:rsid w:val="00402357"/>
    <w:rsid w:val="00410820"/>
    <w:rsid w:val="004161A8"/>
    <w:rsid w:val="004B6326"/>
    <w:rsid w:val="004C670C"/>
    <w:rsid w:val="004F3B76"/>
    <w:rsid w:val="004F7864"/>
    <w:rsid w:val="00505BD0"/>
    <w:rsid w:val="005477E1"/>
    <w:rsid w:val="00561A93"/>
    <w:rsid w:val="005D35F8"/>
    <w:rsid w:val="005D3757"/>
    <w:rsid w:val="005D6D13"/>
    <w:rsid w:val="005E048B"/>
    <w:rsid w:val="005F405C"/>
    <w:rsid w:val="005F503C"/>
    <w:rsid w:val="006044DA"/>
    <w:rsid w:val="006102B4"/>
    <w:rsid w:val="0062397F"/>
    <w:rsid w:val="00664F9B"/>
    <w:rsid w:val="006813A4"/>
    <w:rsid w:val="006860C0"/>
    <w:rsid w:val="00691252"/>
    <w:rsid w:val="006A485C"/>
    <w:rsid w:val="006A4FF8"/>
    <w:rsid w:val="006D524C"/>
    <w:rsid w:val="006F468C"/>
    <w:rsid w:val="00704994"/>
    <w:rsid w:val="007049A0"/>
    <w:rsid w:val="00704A6C"/>
    <w:rsid w:val="00704FC5"/>
    <w:rsid w:val="00705B79"/>
    <w:rsid w:val="007247DD"/>
    <w:rsid w:val="007675B5"/>
    <w:rsid w:val="00770987"/>
    <w:rsid w:val="007760FE"/>
    <w:rsid w:val="007824D9"/>
    <w:rsid w:val="0078585A"/>
    <w:rsid w:val="00790B2D"/>
    <w:rsid w:val="007E0596"/>
    <w:rsid w:val="008001F7"/>
    <w:rsid w:val="00815B2E"/>
    <w:rsid w:val="008268D9"/>
    <w:rsid w:val="00833FBE"/>
    <w:rsid w:val="008473BC"/>
    <w:rsid w:val="00850E21"/>
    <w:rsid w:val="0088147A"/>
    <w:rsid w:val="00885399"/>
    <w:rsid w:val="00887E55"/>
    <w:rsid w:val="00895178"/>
    <w:rsid w:val="008C1DF9"/>
    <w:rsid w:val="008E07E3"/>
    <w:rsid w:val="008E63AD"/>
    <w:rsid w:val="008E7014"/>
    <w:rsid w:val="008F1E43"/>
    <w:rsid w:val="008F424E"/>
    <w:rsid w:val="008F5FEB"/>
    <w:rsid w:val="00921A75"/>
    <w:rsid w:val="009277DA"/>
    <w:rsid w:val="00950B20"/>
    <w:rsid w:val="00953D36"/>
    <w:rsid w:val="00982434"/>
    <w:rsid w:val="009918B1"/>
    <w:rsid w:val="009D021C"/>
    <w:rsid w:val="009E3D16"/>
    <w:rsid w:val="009F150A"/>
    <w:rsid w:val="009F26E9"/>
    <w:rsid w:val="009F51AB"/>
    <w:rsid w:val="00A040B6"/>
    <w:rsid w:val="00A260EC"/>
    <w:rsid w:val="00A32176"/>
    <w:rsid w:val="00A45CBE"/>
    <w:rsid w:val="00A50E96"/>
    <w:rsid w:val="00A92B96"/>
    <w:rsid w:val="00B016AE"/>
    <w:rsid w:val="00B27B52"/>
    <w:rsid w:val="00B3502C"/>
    <w:rsid w:val="00B471A8"/>
    <w:rsid w:val="00B61289"/>
    <w:rsid w:val="00B61ECD"/>
    <w:rsid w:val="00B74E2D"/>
    <w:rsid w:val="00B75028"/>
    <w:rsid w:val="00BA51BC"/>
    <w:rsid w:val="00BC0BEC"/>
    <w:rsid w:val="00BC44AC"/>
    <w:rsid w:val="00BD6E24"/>
    <w:rsid w:val="00BE2C4E"/>
    <w:rsid w:val="00C108E8"/>
    <w:rsid w:val="00C400CB"/>
    <w:rsid w:val="00C564E0"/>
    <w:rsid w:val="00C733C1"/>
    <w:rsid w:val="00C77889"/>
    <w:rsid w:val="00C82C8F"/>
    <w:rsid w:val="00C91AA6"/>
    <w:rsid w:val="00CD2BD5"/>
    <w:rsid w:val="00CD7AE6"/>
    <w:rsid w:val="00CE0262"/>
    <w:rsid w:val="00CE0A0D"/>
    <w:rsid w:val="00CF3839"/>
    <w:rsid w:val="00D34585"/>
    <w:rsid w:val="00D53021"/>
    <w:rsid w:val="00DD0727"/>
    <w:rsid w:val="00E122EC"/>
    <w:rsid w:val="00E47526"/>
    <w:rsid w:val="00E61507"/>
    <w:rsid w:val="00E620D2"/>
    <w:rsid w:val="00E64857"/>
    <w:rsid w:val="00E77A6C"/>
    <w:rsid w:val="00E92C1D"/>
    <w:rsid w:val="00EC295D"/>
    <w:rsid w:val="00EC29A8"/>
    <w:rsid w:val="00EE0EEB"/>
    <w:rsid w:val="00F06534"/>
    <w:rsid w:val="00F12711"/>
    <w:rsid w:val="00F17D0B"/>
    <w:rsid w:val="00F3019B"/>
    <w:rsid w:val="00F347E9"/>
    <w:rsid w:val="00F41A71"/>
    <w:rsid w:val="00F42485"/>
    <w:rsid w:val="00F55EE2"/>
    <w:rsid w:val="00F5782A"/>
    <w:rsid w:val="00F76611"/>
    <w:rsid w:val="00FC467E"/>
    <w:rsid w:val="00FE1E09"/>
    <w:rsid w:val="08A60726"/>
    <w:rsid w:val="0CC8381A"/>
    <w:rsid w:val="0D9D3B7D"/>
    <w:rsid w:val="0F7846D6"/>
    <w:rsid w:val="10661E1D"/>
    <w:rsid w:val="10912632"/>
    <w:rsid w:val="11535599"/>
    <w:rsid w:val="29055596"/>
    <w:rsid w:val="2BAE5355"/>
    <w:rsid w:val="2D25207D"/>
    <w:rsid w:val="2E7F19D7"/>
    <w:rsid w:val="35196623"/>
    <w:rsid w:val="3522296B"/>
    <w:rsid w:val="361E2979"/>
    <w:rsid w:val="3D127B62"/>
    <w:rsid w:val="41687867"/>
    <w:rsid w:val="47650B90"/>
    <w:rsid w:val="49CB0C52"/>
    <w:rsid w:val="4A8E2781"/>
    <w:rsid w:val="4C8B0EBC"/>
    <w:rsid w:val="55993ECF"/>
    <w:rsid w:val="5921361B"/>
    <w:rsid w:val="5D893E01"/>
    <w:rsid w:val="5DBB6A1A"/>
    <w:rsid w:val="738F3DC3"/>
    <w:rsid w:val="79D123ED"/>
    <w:rsid w:val="7AB3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160" w:line="278" w:lineRule="auto"/>
    </w:pPr>
    <w:rPr>
      <w:rFonts w:asciiTheme="minorHAnsi" w:hAnsiTheme="minorHAnsi" w:eastAsiaTheme="minorEastAsia" w:cstheme="minorBidi"/>
      <w:sz w:val="22"/>
      <w:szCs w:val="22"/>
      <w:lang w:val="en-US" w:eastAsia="en-US" w:bidi="ar-SA"/>
    </w:rPr>
  </w:style>
  <w:style w:type="paragraph" w:styleId="3">
    <w:name w:val="heading 1"/>
    <w:basedOn w:val="1"/>
    <w:next w:val="1"/>
    <w:link w:val="16"/>
    <w:qFormat/>
    <w:uiPriority w:val="1"/>
    <w:pPr>
      <w:ind w:left="600"/>
      <w:outlineLvl w:val="0"/>
    </w:pPr>
    <w:rPr>
      <w:rFonts w:ascii="宋体" w:hAnsi="宋体" w:eastAsia="宋体"/>
      <w:b/>
      <w:bCs/>
      <w:sz w:val="26"/>
      <w:szCs w:val="2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4">
    <w:name w:val="Normal Indent"/>
    <w:basedOn w:val="1"/>
    <w:semiHidden/>
    <w:unhideWhenUsed/>
    <w:qFormat/>
    <w:uiPriority w:val="99"/>
    <w:pPr>
      <w:ind w:firstLine="420" w:firstLineChars="200"/>
      <w:jc w:val="both"/>
    </w:pPr>
    <w:rPr>
      <w:rFonts w:ascii="Calibri" w:hAnsi="Calibri" w:eastAsia="宋体" w:cs="Times New Roman"/>
      <w:kern w:val="2"/>
      <w:sz w:val="21"/>
      <w:szCs w:val="24"/>
      <w:lang w:eastAsia="zh-CN"/>
    </w:rPr>
  </w:style>
  <w:style w:type="paragraph" w:styleId="5">
    <w:name w:val="annotation text"/>
    <w:basedOn w:val="1"/>
    <w:link w:val="19"/>
    <w:semiHidden/>
    <w:unhideWhenUsed/>
    <w:qFormat/>
    <w:uiPriority w:val="99"/>
  </w:style>
  <w:style w:type="paragraph" w:styleId="6">
    <w:name w:val="Body Text"/>
    <w:basedOn w:val="1"/>
    <w:link w:val="17"/>
    <w:qFormat/>
    <w:uiPriority w:val="1"/>
    <w:pPr>
      <w:ind w:left="600"/>
    </w:pPr>
    <w:rPr>
      <w:rFonts w:ascii="宋体" w:hAnsi="宋体" w:eastAsia="宋体"/>
      <w:sz w:val="24"/>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pPr>
    <w:rPr>
      <w:kern w:val="2"/>
      <w:sz w:val="18"/>
      <w:szCs w:val="18"/>
      <w:lang w:eastAsia="zh-CN"/>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styleId="10">
    <w:name w:val="Title"/>
    <w:basedOn w:val="3"/>
    <w:next w:val="1"/>
    <w:link w:val="21"/>
    <w:qFormat/>
    <w:uiPriority w:val="0"/>
    <w:pPr>
      <w:spacing w:line="560" w:lineRule="exact"/>
      <w:ind w:left="0"/>
      <w:jc w:val="center"/>
    </w:pPr>
    <w:rPr>
      <w:rFonts w:ascii="方正小标宋简体" w:hAnsi="方正小标宋简体" w:eastAsia="方正小标宋简体" w:cs="方正小标宋简体"/>
      <w:b w:val="0"/>
      <w:bCs w:val="0"/>
      <w:kern w:val="2"/>
      <w:sz w:val="40"/>
      <w:szCs w:val="32"/>
      <w:lang w:eastAsia="zh-CN"/>
    </w:r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9"/>
    <w:qFormat/>
    <w:uiPriority w:val="99"/>
    <w:rPr>
      <w:sz w:val="18"/>
      <w:szCs w:val="18"/>
    </w:rPr>
  </w:style>
  <w:style w:type="character" w:customStyle="1" w:styleId="15">
    <w:name w:val="页脚 字符"/>
    <w:basedOn w:val="12"/>
    <w:link w:val="8"/>
    <w:qFormat/>
    <w:uiPriority w:val="99"/>
    <w:rPr>
      <w:sz w:val="18"/>
      <w:szCs w:val="18"/>
    </w:rPr>
  </w:style>
  <w:style w:type="character" w:customStyle="1" w:styleId="16">
    <w:name w:val="标题 1 字符"/>
    <w:basedOn w:val="12"/>
    <w:link w:val="3"/>
    <w:qFormat/>
    <w:uiPriority w:val="1"/>
    <w:rPr>
      <w:rFonts w:ascii="宋体" w:hAnsi="宋体" w:eastAsia="宋体"/>
      <w:b/>
      <w:bCs/>
      <w:kern w:val="0"/>
      <w:sz w:val="26"/>
      <w:szCs w:val="26"/>
      <w:lang w:eastAsia="en-US"/>
    </w:rPr>
  </w:style>
  <w:style w:type="character" w:customStyle="1" w:styleId="17">
    <w:name w:val="正文文本 字符"/>
    <w:basedOn w:val="12"/>
    <w:link w:val="6"/>
    <w:qFormat/>
    <w:uiPriority w:val="1"/>
    <w:rPr>
      <w:rFonts w:ascii="宋体" w:hAnsi="宋体" w:eastAsia="宋体"/>
      <w:kern w:val="0"/>
      <w:sz w:val="24"/>
      <w:szCs w:val="24"/>
      <w:lang w:eastAsia="en-US"/>
    </w:rPr>
  </w:style>
  <w:style w:type="character" w:customStyle="1" w:styleId="18">
    <w:name w:val="批注框文本 字符"/>
    <w:basedOn w:val="12"/>
    <w:link w:val="7"/>
    <w:semiHidden/>
    <w:qFormat/>
    <w:uiPriority w:val="99"/>
    <w:rPr>
      <w:kern w:val="0"/>
      <w:sz w:val="18"/>
      <w:szCs w:val="18"/>
      <w:lang w:eastAsia="en-US"/>
    </w:rPr>
  </w:style>
  <w:style w:type="character" w:customStyle="1" w:styleId="19">
    <w:name w:val="批注文字 字符"/>
    <w:basedOn w:val="12"/>
    <w:link w:val="5"/>
    <w:semiHidden/>
    <w:qFormat/>
    <w:uiPriority w:val="99"/>
    <w:rPr>
      <w:kern w:val="0"/>
      <w:sz w:val="22"/>
      <w:lang w:eastAsia="en-US"/>
    </w:rPr>
  </w:style>
  <w:style w:type="paragraph" w:customStyle="1" w:styleId="20">
    <w:name w:val="修订1"/>
    <w:hidden/>
    <w:semiHidden/>
    <w:qFormat/>
    <w:uiPriority w:val="99"/>
    <w:pPr>
      <w:spacing w:after="160" w:line="278" w:lineRule="auto"/>
    </w:pPr>
    <w:rPr>
      <w:rFonts w:asciiTheme="minorHAnsi" w:hAnsiTheme="minorHAnsi" w:eastAsiaTheme="minorEastAsia" w:cstheme="minorBidi"/>
      <w:sz w:val="22"/>
      <w:szCs w:val="22"/>
      <w:lang w:val="en-US" w:eastAsia="en-US" w:bidi="ar-SA"/>
    </w:rPr>
  </w:style>
  <w:style w:type="character" w:customStyle="1" w:styleId="21">
    <w:name w:val="标题 字符"/>
    <w:basedOn w:val="12"/>
    <w:link w:val="10"/>
    <w:qFormat/>
    <w:uiPriority w:val="0"/>
    <w:rPr>
      <w:rFonts w:ascii="方正小标宋简体" w:hAnsi="方正小标宋简体" w:eastAsia="方正小标宋简体" w:cs="方正小标宋简体"/>
      <w:sz w:val="40"/>
      <w:szCs w:val="32"/>
    </w:rPr>
  </w:style>
  <w:style w:type="character" w:customStyle="1" w:styleId="22">
    <w:name w:val="附注二级正文 Char"/>
    <w:link w:val="23"/>
    <w:qFormat/>
    <w:locked/>
    <w:uiPriority w:val="0"/>
    <w:rPr>
      <w:rFonts w:ascii="宋体" w:hAnsi="宋体" w:eastAsia="宋体" w:cs="Times New Roman"/>
      <w:szCs w:val="24"/>
    </w:rPr>
  </w:style>
  <w:style w:type="paragraph" w:customStyle="1" w:styleId="23">
    <w:name w:val="附注二级正文"/>
    <w:basedOn w:val="1"/>
    <w:link w:val="22"/>
    <w:qFormat/>
    <w:uiPriority w:val="0"/>
    <w:pPr>
      <w:adjustRightInd w:val="0"/>
      <w:snapToGrid w:val="0"/>
      <w:spacing w:line="400" w:lineRule="atLeast"/>
      <w:ind w:left="718" w:leftChars="342"/>
      <w:jc w:val="both"/>
    </w:pPr>
    <w:rPr>
      <w:rFonts w:ascii="宋体" w:hAnsi="宋体" w:eastAsia="宋体" w:cs="Times New Roman"/>
      <w:kern w:val="2"/>
      <w:sz w:val="21"/>
      <w:szCs w:val="24"/>
      <w:lang w:eastAsia="zh-CN"/>
    </w:rPr>
  </w:style>
  <w:style w:type="character" w:customStyle="1" w:styleId="24">
    <w:name w:val="附注一级 Char"/>
    <w:link w:val="25"/>
    <w:qFormat/>
    <w:locked/>
    <w:uiPriority w:val="0"/>
    <w:rPr>
      <w:rFonts w:ascii="宋体" w:hAnsi="宋体" w:eastAsia="宋体" w:cs="Times New Roman"/>
      <w:b/>
      <w:szCs w:val="21"/>
      <w:lang w:val="zh-CN"/>
    </w:rPr>
  </w:style>
  <w:style w:type="paragraph" w:customStyle="1" w:styleId="25">
    <w:name w:val="附注一级"/>
    <w:basedOn w:val="1"/>
    <w:link w:val="24"/>
    <w:qFormat/>
    <w:uiPriority w:val="0"/>
    <w:pPr>
      <w:tabs>
        <w:tab w:val="left" w:pos="714"/>
      </w:tabs>
      <w:adjustRightInd w:val="0"/>
      <w:snapToGrid w:val="0"/>
      <w:spacing w:line="400" w:lineRule="atLeast"/>
      <w:jc w:val="both"/>
      <w:outlineLvl w:val="0"/>
    </w:pPr>
    <w:rPr>
      <w:rFonts w:ascii="宋体" w:hAnsi="宋体" w:eastAsia="宋体" w:cs="Times New Roman"/>
      <w:b/>
      <w:kern w:val="2"/>
      <w:sz w:val="21"/>
      <w:szCs w:val="21"/>
      <w:lang w:val="zh-CN" w:eastAsia="zh-CN"/>
    </w:rPr>
  </w:style>
  <w:style w:type="paragraph" w:customStyle="1" w:styleId="26">
    <w:name w:val="修订2"/>
    <w:hidden/>
    <w:semiHidden/>
    <w:qFormat/>
    <w:uiPriority w:val="99"/>
    <w:pPr>
      <w:spacing w:after="160" w:line="278" w:lineRule="auto"/>
    </w:pPr>
    <w:rPr>
      <w:rFonts w:asciiTheme="minorHAnsi" w:hAnsiTheme="minorHAnsi" w:eastAsiaTheme="minorEastAsia" w:cstheme="minorBidi"/>
      <w:sz w:val="22"/>
      <w:szCs w:val="22"/>
      <w:lang w:val="en-US" w:eastAsia="en-US" w:bidi="ar-SA"/>
    </w:rPr>
  </w:style>
  <w:style w:type="character" w:customStyle="1" w:styleId="27">
    <w:name w:val="font51"/>
    <w:basedOn w:val="12"/>
    <w:qFormat/>
    <w:uiPriority w:val="0"/>
    <w:rPr>
      <w:rFonts w:ascii="Arial" w:hAnsi="Arial" w:cs="Arial"/>
      <w:color w:val="000000"/>
      <w:sz w:val="20"/>
      <w:szCs w:val="20"/>
      <w:u w:val="none"/>
    </w:rPr>
  </w:style>
  <w:style w:type="character" w:customStyle="1" w:styleId="28">
    <w:name w:val="font21"/>
    <w:basedOn w:val="12"/>
    <w:qFormat/>
    <w:uiPriority w:val="0"/>
    <w:rPr>
      <w:rFonts w:hint="eastAsia" w:ascii="宋体" w:hAnsi="宋体" w:eastAsia="宋体" w:cs="宋体"/>
      <w:color w:val="000000"/>
      <w:sz w:val="20"/>
      <w:szCs w:val="20"/>
      <w:u w:val="none"/>
    </w:rPr>
  </w:style>
  <w:style w:type="character" w:customStyle="1" w:styleId="29">
    <w:name w:val="font41"/>
    <w:basedOn w:val="12"/>
    <w:qFormat/>
    <w:uiPriority w:val="0"/>
    <w:rPr>
      <w:rFonts w:hint="eastAsia" w:ascii="宋体" w:hAnsi="宋体" w:eastAsia="宋体" w:cs="宋体"/>
      <w:color w:val="000000"/>
      <w:sz w:val="20"/>
      <w:szCs w:val="20"/>
      <w:u w:val="none"/>
    </w:rPr>
  </w:style>
  <w:style w:type="character" w:customStyle="1" w:styleId="30">
    <w:name w:val="font31"/>
    <w:basedOn w:val="1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589</Words>
  <Characters>3359</Characters>
  <Lines>27</Lines>
  <Paragraphs>7</Paragraphs>
  <TotalTime>1</TotalTime>
  <ScaleCrop>false</ScaleCrop>
  <LinksUpToDate>false</LinksUpToDate>
  <CharactersWithSpaces>3941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2016-12-24T16:02:00Z</dcterms:created>
  <dc:creator>朱正忠</dc:creator>
  <cp:lastModifiedBy>叶建兵</cp:lastModifiedBy>
  <dcterms:modified xsi:type="dcterms:W3CDTF">2025-08-22T04:15:46Z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FBC2B50F7A7C4C5E9B3C8C79E86B4053</vt:lpwstr>
  </property>
</Properties>
</file>