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993"/>
        </w:tabs>
        <w:kinsoku/>
        <w:wordWrap/>
        <w:overflowPunct/>
        <w:topLinePunct w:val="0"/>
        <w:autoSpaceDE w:val="0"/>
        <w:autoSpaceDN w:val="0"/>
        <w:bidi w:val="0"/>
        <w:adjustRightInd w:val="0"/>
        <w:snapToGrid w:val="0"/>
        <w:spacing w:line="440" w:lineRule="exact"/>
        <w:jc w:val="both"/>
        <w:textAlignment w:val="auto"/>
        <w:rPr>
          <w:rFonts w:hint="default" w:ascii="Times New Roman" w:hAnsi="Times New Roman" w:eastAsia="宋体"/>
          <w:b w:val="0"/>
          <w:bCs w:val="0"/>
          <w:color w:val="000000"/>
          <w:sz w:val="24"/>
          <w:szCs w:val="21"/>
          <w:highlight w:val="none"/>
          <w:lang w:val="en-US" w:eastAsia="zh-CN"/>
        </w:rPr>
      </w:pPr>
      <w:r>
        <w:rPr>
          <w:rFonts w:ascii="Times New Roman" w:hAnsi="Times New Roman"/>
          <w:b w:val="0"/>
          <w:bCs w:val="0"/>
          <w:color w:val="000000"/>
          <w:sz w:val="24"/>
          <w:szCs w:val="21"/>
          <w:highlight w:val="none"/>
        </w:rPr>
        <w:t>证券代码：000966</w:t>
      </w:r>
      <w:r>
        <w:rPr>
          <w:rFonts w:ascii="Times New Roman" w:hAnsi="Times New Roman"/>
          <w:b w:val="0"/>
          <w:bCs w:val="0"/>
          <w:color w:val="000000"/>
          <w:sz w:val="24"/>
          <w:szCs w:val="21"/>
          <w:highlight w:val="none"/>
        </w:rPr>
        <w:tab/>
      </w:r>
      <w:r>
        <w:rPr>
          <w:rFonts w:ascii="Times New Roman" w:hAnsi="Times New Roman"/>
          <w:b w:val="0"/>
          <w:bCs w:val="0"/>
          <w:color w:val="000000"/>
          <w:sz w:val="24"/>
          <w:szCs w:val="21"/>
          <w:highlight w:val="none"/>
        </w:rPr>
        <w:t xml:space="preserve">       </w:t>
      </w:r>
      <w:r>
        <w:rPr>
          <w:rFonts w:hint="eastAsia" w:ascii="Times New Roman" w:hAnsi="Times New Roman"/>
          <w:b w:val="0"/>
          <w:bCs w:val="0"/>
          <w:color w:val="000000"/>
          <w:sz w:val="24"/>
          <w:szCs w:val="21"/>
          <w:highlight w:val="none"/>
          <w:lang w:val="en-US" w:eastAsia="zh-CN"/>
        </w:rPr>
        <w:t xml:space="preserve">  </w:t>
      </w:r>
      <w:r>
        <w:rPr>
          <w:rFonts w:ascii="Times New Roman" w:hAnsi="Times New Roman"/>
          <w:b w:val="0"/>
          <w:bCs w:val="0"/>
          <w:color w:val="000000"/>
          <w:sz w:val="24"/>
          <w:szCs w:val="21"/>
          <w:highlight w:val="none"/>
        </w:rPr>
        <w:t xml:space="preserve">证券简称：长源电力       </w:t>
      </w:r>
      <w:r>
        <w:rPr>
          <w:rFonts w:hint="eastAsia" w:ascii="Times New Roman" w:hAnsi="Times New Roman"/>
          <w:b w:val="0"/>
          <w:bCs w:val="0"/>
          <w:color w:val="000000"/>
          <w:sz w:val="24"/>
          <w:szCs w:val="21"/>
          <w:highlight w:val="none"/>
          <w:lang w:val="en-US" w:eastAsia="zh-CN"/>
        </w:rPr>
        <w:t xml:space="preserve">  </w:t>
      </w:r>
      <w:r>
        <w:rPr>
          <w:rFonts w:ascii="Times New Roman" w:hAnsi="Times New Roman"/>
          <w:b w:val="0"/>
          <w:bCs w:val="0"/>
          <w:color w:val="000000"/>
          <w:sz w:val="24"/>
          <w:szCs w:val="21"/>
          <w:highlight w:val="none"/>
        </w:rPr>
        <w:t>公告编号：20</w:t>
      </w:r>
      <w:r>
        <w:rPr>
          <w:rFonts w:hint="eastAsia" w:ascii="Times New Roman" w:hAnsi="Times New Roman"/>
          <w:b w:val="0"/>
          <w:bCs w:val="0"/>
          <w:color w:val="000000"/>
          <w:sz w:val="24"/>
          <w:szCs w:val="21"/>
          <w:highlight w:val="none"/>
          <w:lang w:val="en-US" w:eastAsia="zh-CN"/>
        </w:rPr>
        <w:t>25-057</w:t>
      </w:r>
    </w:p>
    <w:p>
      <w:pPr>
        <w:keepNext w:val="0"/>
        <w:keepLines w:val="0"/>
        <w:pageBreakBefore w:val="0"/>
        <w:widowControl w:val="0"/>
        <w:kinsoku/>
        <w:wordWrap/>
        <w:overflowPunct/>
        <w:topLinePunct w:val="0"/>
        <w:bidi w:val="0"/>
        <w:adjustRightInd w:val="0"/>
        <w:snapToGrid w:val="0"/>
        <w:spacing w:line="440" w:lineRule="exact"/>
        <w:jc w:val="center"/>
        <w:textAlignment w:val="auto"/>
        <w:rPr>
          <w:rFonts w:ascii="Times New Roman" w:hAnsi="Times New Roman"/>
          <w:b/>
          <w:bCs/>
          <w:color w:val="00000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imes New Roman" w:hAnsi="Times New Roman" w:eastAsia="方正小标宋简体" w:cs="方正小标宋简体"/>
          <w:b w:val="0"/>
          <w:bCs w:val="0"/>
          <w:color w:val="000000"/>
          <w:sz w:val="32"/>
          <w:szCs w:val="32"/>
          <w:highlight w:val="none"/>
        </w:rPr>
      </w:pPr>
      <w:r>
        <w:rPr>
          <w:rFonts w:hint="eastAsia" w:ascii="Times New Roman" w:hAnsi="Times New Roman" w:eastAsia="方正小标宋简体" w:cs="方正小标宋简体"/>
          <w:b w:val="0"/>
          <w:bCs w:val="0"/>
          <w:color w:val="000000"/>
          <w:sz w:val="32"/>
          <w:szCs w:val="32"/>
          <w:highlight w:val="none"/>
        </w:rPr>
        <w:t>国</w:t>
      </w:r>
      <w:r>
        <w:rPr>
          <w:rFonts w:hint="eastAsia" w:ascii="Times New Roman" w:hAnsi="Times New Roman" w:eastAsia="方正小标宋简体" w:cs="方正小标宋简体"/>
          <w:b w:val="0"/>
          <w:bCs w:val="0"/>
          <w:color w:val="000000"/>
          <w:sz w:val="32"/>
          <w:szCs w:val="32"/>
          <w:highlight w:val="none"/>
          <w:lang w:val="en-US" w:eastAsia="zh-CN"/>
        </w:rPr>
        <w:t>家能源集团</w:t>
      </w:r>
      <w:r>
        <w:rPr>
          <w:rFonts w:hint="eastAsia" w:ascii="Times New Roman" w:hAnsi="Times New Roman" w:eastAsia="方正小标宋简体" w:cs="方正小标宋简体"/>
          <w:b w:val="0"/>
          <w:bCs w:val="0"/>
          <w:color w:val="000000"/>
          <w:sz w:val="32"/>
          <w:szCs w:val="32"/>
          <w:highlight w:val="none"/>
        </w:rPr>
        <w:t>长源电力股份有限公司</w:t>
      </w: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Times New Roman" w:hAnsi="Times New Roman" w:eastAsia="方正小标宋简体" w:cs="方正小标宋简体"/>
          <w:b w:val="0"/>
          <w:bCs w:val="0"/>
          <w:color w:val="000000"/>
          <w:sz w:val="32"/>
          <w:szCs w:val="32"/>
          <w:highlight w:val="none"/>
        </w:rPr>
      </w:pPr>
      <w:r>
        <w:rPr>
          <w:rFonts w:hint="eastAsia" w:ascii="Times New Roman" w:hAnsi="Times New Roman" w:eastAsia="方正小标宋简体" w:cs="方正小标宋简体"/>
          <w:b w:val="0"/>
          <w:bCs w:val="0"/>
          <w:color w:val="000000"/>
          <w:sz w:val="32"/>
          <w:szCs w:val="32"/>
          <w:highlight w:val="none"/>
        </w:rPr>
        <w:t>第</w:t>
      </w:r>
      <w:r>
        <w:rPr>
          <w:rFonts w:hint="eastAsia" w:ascii="Times New Roman" w:hAnsi="Times New Roman" w:eastAsia="方正小标宋简体" w:cs="方正小标宋简体"/>
          <w:b w:val="0"/>
          <w:bCs w:val="0"/>
          <w:color w:val="000000"/>
          <w:sz w:val="32"/>
          <w:szCs w:val="32"/>
          <w:highlight w:val="none"/>
          <w:lang w:val="en-US" w:eastAsia="zh-CN"/>
        </w:rPr>
        <w:t>十</w:t>
      </w:r>
      <w:r>
        <w:rPr>
          <w:rFonts w:hint="eastAsia" w:ascii="Times New Roman" w:hAnsi="Times New Roman" w:eastAsia="方正小标宋简体" w:cs="方正小标宋简体"/>
          <w:b w:val="0"/>
          <w:bCs w:val="0"/>
          <w:color w:val="000000"/>
          <w:sz w:val="32"/>
          <w:szCs w:val="32"/>
          <w:highlight w:val="none"/>
        </w:rPr>
        <w:t>届董事会第</w:t>
      </w:r>
      <w:r>
        <w:rPr>
          <w:rFonts w:hint="eastAsia" w:ascii="Times New Roman" w:hAnsi="Times New Roman" w:eastAsia="方正小标宋简体" w:cs="方正小标宋简体"/>
          <w:b w:val="0"/>
          <w:bCs w:val="0"/>
          <w:color w:val="000000"/>
          <w:sz w:val="32"/>
          <w:szCs w:val="32"/>
          <w:highlight w:val="none"/>
          <w:lang w:val="en-US" w:eastAsia="zh-CN"/>
        </w:rPr>
        <w:t>三十五</w:t>
      </w:r>
      <w:r>
        <w:rPr>
          <w:rFonts w:hint="eastAsia" w:ascii="Times New Roman" w:hAnsi="Times New Roman" w:eastAsia="方正小标宋简体" w:cs="方正小标宋简体"/>
          <w:b w:val="0"/>
          <w:bCs w:val="0"/>
          <w:color w:val="000000"/>
          <w:sz w:val="32"/>
          <w:szCs w:val="32"/>
          <w:highlight w:val="none"/>
        </w:rPr>
        <w:t>次会议决议公告</w:t>
      </w:r>
    </w:p>
    <w:p>
      <w:pPr>
        <w:keepNext w:val="0"/>
        <w:keepLines w:val="0"/>
        <w:pageBreakBefore w:val="0"/>
        <w:widowControl w:val="0"/>
        <w:kinsoku/>
        <w:wordWrap/>
        <w:overflowPunct/>
        <w:topLinePunct w:val="0"/>
        <w:autoSpaceDE w:val="0"/>
        <w:autoSpaceDN w:val="0"/>
        <w:bidi w:val="0"/>
        <w:adjustRightInd w:val="0"/>
        <w:snapToGrid w:val="0"/>
        <w:spacing w:line="440" w:lineRule="exact"/>
        <w:jc w:val="center"/>
        <w:textAlignment w:val="auto"/>
        <w:rPr>
          <w:rFonts w:ascii="Times New Roman" w:hAnsi="Times New Roman"/>
          <w:color w:val="000000"/>
          <w:sz w:val="32"/>
          <w:szCs w:val="32"/>
          <w:highlight w:val="none"/>
        </w:rPr>
      </w:pPr>
    </w:p>
    <w:tbl>
      <w:tblPr>
        <w:tblStyle w:val="15"/>
        <w:tblW w:w="8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58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snapToGrid w:val="0"/>
              <w:spacing w:line="380" w:lineRule="exact"/>
              <w:ind w:firstLine="480" w:firstLineChars="200"/>
              <w:textAlignment w:val="auto"/>
              <w:rPr>
                <w:rFonts w:ascii="Times New Roman" w:hAnsi="Times New Roman"/>
                <w:color w:val="000000"/>
                <w:sz w:val="24"/>
                <w:szCs w:val="28"/>
                <w:highlight w:val="none"/>
              </w:rPr>
            </w:pPr>
            <w:r>
              <w:rPr>
                <w:rFonts w:ascii="Times New Roman" w:hAnsi="Times New Roman"/>
                <w:color w:val="000000"/>
                <w:kern w:val="0"/>
                <w:sz w:val="24"/>
                <w:szCs w:val="28"/>
                <w:highlight w:val="none"/>
              </w:rPr>
              <w:t>本公司及董事会全体成员保证信息披露</w:t>
            </w:r>
            <w:r>
              <w:rPr>
                <w:rFonts w:hint="eastAsia" w:ascii="Times New Roman" w:hAnsi="Times New Roman"/>
                <w:color w:val="000000"/>
                <w:kern w:val="0"/>
                <w:sz w:val="24"/>
                <w:szCs w:val="28"/>
                <w:highlight w:val="none"/>
                <w:lang w:eastAsia="zh-CN"/>
              </w:rPr>
              <w:t>的</w:t>
            </w:r>
            <w:r>
              <w:rPr>
                <w:rFonts w:ascii="Times New Roman" w:hAnsi="Times New Roman"/>
                <w:color w:val="000000"/>
                <w:kern w:val="0"/>
                <w:sz w:val="24"/>
                <w:szCs w:val="28"/>
                <w:highlight w:val="none"/>
              </w:rPr>
              <w:t>内容真实、准确</w:t>
            </w:r>
            <w:r>
              <w:rPr>
                <w:rFonts w:hint="eastAsia" w:ascii="Times New Roman" w:hAnsi="Times New Roman"/>
                <w:color w:val="000000"/>
                <w:kern w:val="0"/>
                <w:sz w:val="24"/>
                <w:szCs w:val="28"/>
                <w:highlight w:val="none"/>
                <w:lang w:eastAsia="zh-CN"/>
              </w:rPr>
              <w:t>、</w:t>
            </w:r>
            <w:r>
              <w:rPr>
                <w:rFonts w:ascii="Times New Roman" w:hAnsi="Times New Roman"/>
                <w:color w:val="000000"/>
                <w:kern w:val="0"/>
                <w:sz w:val="24"/>
                <w:szCs w:val="28"/>
                <w:highlight w:val="none"/>
              </w:rPr>
              <w:t>完整，没有虚假记载、误导性陈述或重大遗漏。</w:t>
            </w:r>
          </w:p>
        </w:tc>
      </w:tr>
    </w:tbl>
    <w:p>
      <w:pPr>
        <w:keepNext w:val="0"/>
        <w:keepLines w:val="0"/>
        <w:pageBreakBefore w:val="0"/>
        <w:widowControl w:val="0"/>
        <w:kinsoku/>
        <w:overflowPunct/>
        <w:topLinePunct w:val="0"/>
        <w:bidi w:val="0"/>
        <w:adjustRightInd w:val="0"/>
        <w:snapToGrid w:val="0"/>
        <w:spacing w:line="380" w:lineRule="exact"/>
        <w:ind w:firstLine="570"/>
        <w:textAlignment w:val="auto"/>
        <w:rPr>
          <w:rFonts w:ascii="Times New Roman" w:hAnsi="Times New Roman"/>
          <w:b/>
          <w:color w:val="000000"/>
          <w:sz w:val="24"/>
          <w:szCs w:val="28"/>
          <w:highlight w:val="none"/>
        </w:rPr>
      </w:pPr>
    </w:p>
    <w:p>
      <w:pPr>
        <w:keepNext w:val="0"/>
        <w:keepLines w:val="0"/>
        <w:pageBreakBefore w:val="0"/>
        <w:widowControl w:val="0"/>
        <w:kinsoku/>
        <w:overflowPunct/>
        <w:topLinePunct w:val="0"/>
        <w:autoSpaceDE/>
        <w:autoSpaceDN/>
        <w:bidi w:val="0"/>
        <w:adjustRightInd w:val="0"/>
        <w:snapToGrid w:val="0"/>
        <w:spacing w:line="380" w:lineRule="exact"/>
        <w:ind w:firstLine="482" w:firstLineChars="200"/>
        <w:textAlignment w:val="auto"/>
        <w:rPr>
          <w:rFonts w:ascii="Times New Roman" w:hAnsi="Times New Roman"/>
          <w:b/>
          <w:color w:val="000000"/>
          <w:sz w:val="24"/>
          <w:szCs w:val="28"/>
          <w:highlight w:val="none"/>
        </w:rPr>
      </w:pPr>
      <w:r>
        <w:rPr>
          <w:rFonts w:ascii="Times New Roman" w:hAnsi="Times New Roman"/>
          <w:b/>
          <w:color w:val="000000"/>
          <w:sz w:val="24"/>
          <w:szCs w:val="28"/>
          <w:highlight w:val="none"/>
        </w:rPr>
        <w:t>一、董事会会议召开情况</w:t>
      </w:r>
    </w:p>
    <w:p>
      <w:pPr>
        <w:keepNext w:val="0"/>
        <w:keepLines w:val="0"/>
        <w:pageBreakBefore w:val="0"/>
        <w:widowControl w:val="0"/>
        <w:kinsoku/>
        <w:overflowPunct/>
        <w:topLinePunct w:val="0"/>
        <w:autoSpaceDE/>
        <w:autoSpaceDN/>
        <w:bidi w:val="0"/>
        <w:adjustRightInd w:val="0"/>
        <w:snapToGrid w:val="0"/>
        <w:spacing w:line="380" w:lineRule="exact"/>
        <w:ind w:firstLine="480" w:firstLineChars="200"/>
        <w:textAlignment w:val="auto"/>
        <w:rPr>
          <w:rFonts w:ascii="Times New Roman" w:hAnsi="Times New Roman"/>
          <w:b/>
          <w:color w:val="auto"/>
          <w:sz w:val="24"/>
          <w:szCs w:val="28"/>
          <w:highlight w:val="none"/>
        </w:rPr>
      </w:pPr>
      <w:r>
        <w:rPr>
          <w:rFonts w:hint="eastAsia" w:ascii="Times New Roman" w:hAnsi="Times New Roman"/>
          <w:color w:val="auto"/>
          <w:sz w:val="24"/>
          <w:szCs w:val="24"/>
          <w:highlight w:val="none"/>
        </w:rPr>
        <w:t>公司第十届董事会第</w:t>
      </w:r>
      <w:r>
        <w:rPr>
          <w:rFonts w:hint="eastAsia" w:ascii="Times New Roman" w:hAnsi="Times New Roman"/>
          <w:color w:val="auto"/>
          <w:sz w:val="24"/>
          <w:szCs w:val="24"/>
          <w:highlight w:val="none"/>
          <w:lang w:val="en-US" w:eastAsia="zh-CN"/>
        </w:rPr>
        <w:t>三十五</w:t>
      </w:r>
      <w:r>
        <w:rPr>
          <w:rFonts w:hint="eastAsia" w:ascii="Times New Roman" w:hAnsi="Times New Roman"/>
          <w:color w:val="auto"/>
          <w:sz w:val="24"/>
          <w:szCs w:val="24"/>
          <w:highlight w:val="none"/>
        </w:rPr>
        <w:t>次会议于2025年</w:t>
      </w:r>
      <w:r>
        <w:rPr>
          <w:rFonts w:hint="eastAsia" w:ascii="Times New Roman" w:hAnsi="Times New Roman"/>
          <w:color w:val="auto"/>
          <w:sz w:val="24"/>
          <w:szCs w:val="24"/>
          <w:highlight w:val="none"/>
          <w:lang w:val="en-US" w:eastAsia="zh-CN"/>
        </w:rPr>
        <w:t>8</w:t>
      </w:r>
      <w:r>
        <w:rPr>
          <w:rFonts w:hint="eastAsia" w:ascii="Times New Roman" w:hAnsi="Times New Roman"/>
          <w:color w:val="auto"/>
          <w:sz w:val="24"/>
          <w:szCs w:val="24"/>
          <w:highlight w:val="none"/>
        </w:rPr>
        <w:t>月</w:t>
      </w:r>
      <w:r>
        <w:rPr>
          <w:rFonts w:hint="eastAsia" w:ascii="Times New Roman" w:hAnsi="Times New Roman"/>
          <w:color w:val="auto"/>
          <w:sz w:val="24"/>
          <w:szCs w:val="24"/>
          <w:highlight w:val="none"/>
          <w:lang w:val="en-US" w:eastAsia="zh-CN"/>
        </w:rPr>
        <w:t>21</w:t>
      </w:r>
      <w:r>
        <w:rPr>
          <w:rFonts w:hint="eastAsia" w:ascii="Times New Roman" w:hAnsi="Times New Roman"/>
          <w:color w:val="auto"/>
          <w:sz w:val="24"/>
          <w:szCs w:val="24"/>
          <w:highlight w:val="none"/>
        </w:rPr>
        <w:t>日在湖北省武汉市洪山区徐东大街63号国家能源大厦2楼会议室以现场结合网络</w:t>
      </w:r>
      <w:r>
        <w:rPr>
          <w:rFonts w:hint="eastAsia" w:ascii="Times New Roman" w:hAnsi="Times New Roman"/>
          <w:color w:val="auto"/>
          <w:sz w:val="24"/>
          <w:szCs w:val="24"/>
          <w:highlight w:val="none"/>
          <w:lang w:val="en-US" w:eastAsia="zh-CN"/>
        </w:rPr>
        <w:t>视频</w:t>
      </w:r>
      <w:r>
        <w:rPr>
          <w:rFonts w:hint="eastAsia" w:ascii="Times New Roman" w:hAnsi="Times New Roman"/>
          <w:color w:val="auto"/>
          <w:sz w:val="24"/>
          <w:szCs w:val="24"/>
          <w:highlight w:val="none"/>
        </w:rPr>
        <w:t>方式召开</w:t>
      </w:r>
      <w:r>
        <w:rPr>
          <w:rFonts w:ascii="Times New Roman" w:hAnsi="Times New Roman"/>
          <w:color w:val="auto"/>
          <w:sz w:val="24"/>
          <w:szCs w:val="24"/>
          <w:highlight w:val="none"/>
        </w:rPr>
        <w:t>。</w:t>
      </w:r>
      <w:r>
        <w:rPr>
          <w:rFonts w:hint="eastAsia" w:ascii="Times New Roman" w:hAnsi="Times New Roman"/>
          <w:color w:val="auto"/>
          <w:sz w:val="24"/>
          <w:szCs w:val="24"/>
          <w:highlight w:val="none"/>
        </w:rPr>
        <w:t>会议通知于2025年8月7日以专人送达或邮件方式发出。会议应到董事8人，实到8人</w:t>
      </w:r>
      <w:r>
        <w:rPr>
          <w:rFonts w:hint="eastAsia" w:ascii="Times New Roman" w:hAnsi="Times New Roman"/>
          <w:color w:val="auto"/>
          <w:sz w:val="24"/>
          <w:szCs w:val="24"/>
          <w:highlight w:val="none"/>
          <w:lang w:eastAsia="zh-CN"/>
        </w:rPr>
        <w:t>，其中王冬董事、郑峰董事、汤湘希董事现场出席会议，刘晋冀董事、王娟董事、李亮董事、王宗军董事、张红董事通过网络视频参加会议</w:t>
      </w:r>
      <w:r>
        <w:rPr>
          <w:rFonts w:hint="eastAsia" w:ascii="Times New Roman" w:hAnsi="Times New Roman"/>
          <w:color w:val="auto"/>
          <w:sz w:val="24"/>
          <w:szCs w:val="24"/>
          <w:highlight w:val="none"/>
        </w:rPr>
        <w:t>。</w:t>
      </w:r>
      <w:r>
        <w:rPr>
          <w:rFonts w:hint="eastAsia" w:ascii="Times New Roman" w:hAnsi="Times New Roman"/>
          <w:color w:val="auto"/>
          <w:sz w:val="24"/>
          <w:szCs w:val="28"/>
          <w:highlight w:val="none"/>
        </w:rPr>
        <w:t>会议由</w:t>
      </w:r>
      <w:r>
        <w:rPr>
          <w:rFonts w:hint="eastAsia" w:ascii="Times New Roman" w:hAnsi="Times New Roman"/>
          <w:color w:val="auto"/>
          <w:sz w:val="24"/>
          <w:szCs w:val="28"/>
          <w:highlight w:val="none"/>
          <w:lang w:val="en-US" w:eastAsia="zh-CN"/>
        </w:rPr>
        <w:t>公司董事长王冬</w:t>
      </w:r>
      <w:r>
        <w:rPr>
          <w:rFonts w:hint="eastAsia" w:ascii="Times New Roman" w:hAnsi="Times New Roman"/>
          <w:color w:val="auto"/>
          <w:sz w:val="24"/>
          <w:szCs w:val="28"/>
          <w:highlight w:val="none"/>
          <w:lang w:eastAsia="zh-CN"/>
        </w:rPr>
        <w:t>先生</w:t>
      </w:r>
      <w:r>
        <w:rPr>
          <w:rFonts w:hint="eastAsia" w:ascii="Times New Roman" w:hAnsi="Times New Roman"/>
          <w:color w:val="auto"/>
          <w:sz w:val="24"/>
          <w:szCs w:val="28"/>
          <w:highlight w:val="none"/>
        </w:rPr>
        <w:t>主持，公司高级管理人员列席了会议</w:t>
      </w:r>
      <w:r>
        <w:rPr>
          <w:rFonts w:hint="eastAsia" w:ascii="Times New Roman" w:hAnsi="Times New Roman"/>
          <w:color w:val="auto"/>
          <w:sz w:val="24"/>
          <w:szCs w:val="24"/>
          <w:highlight w:val="none"/>
        </w:rPr>
        <w:t>。</w:t>
      </w:r>
      <w:r>
        <w:rPr>
          <w:rFonts w:hint="default" w:ascii="Times New Roman" w:hAnsi="Times New Roman" w:cs="Times New Roman"/>
          <w:color w:val="auto"/>
          <w:sz w:val="24"/>
          <w:szCs w:val="28"/>
          <w:highlight w:val="none"/>
        </w:rPr>
        <w:t>本次</w:t>
      </w:r>
      <w:r>
        <w:rPr>
          <w:rFonts w:hint="eastAsia" w:ascii="Times New Roman" w:hAnsi="Times New Roman" w:cs="Times New Roman"/>
          <w:color w:val="auto"/>
          <w:sz w:val="24"/>
          <w:szCs w:val="28"/>
          <w:highlight w:val="none"/>
          <w:lang w:val="en-US" w:eastAsia="zh-CN"/>
        </w:rPr>
        <w:t>董事会会议</w:t>
      </w:r>
      <w:r>
        <w:rPr>
          <w:rFonts w:hint="default" w:ascii="Times New Roman" w:hAnsi="Times New Roman" w:cs="Times New Roman"/>
          <w:color w:val="auto"/>
          <w:sz w:val="24"/>
          <w:szCs w:val="28"/>
          <w:highlight w:val="none"/>
        </w:rPr>
        <w:t>的召开符合有关法律、行政法规、部门规章、规范性文件和</w:t>
      </w:r>
      <w:r>
        <w:rPr>
          <w:rFonts w:hint="eastAsia" w:ascii="Times New Roman" w:hAnsi="Times New Roman" w:cs="Times New Roman"/>
          <w:color w:val="auto"/>
          <w:sz w:val="24"/>
          <w:szCs w:val="28"/>
          <w:highlight w:val="none"/>
          <w:lang w:eastAsia="zh-CN"/>
        </w:rPr>
        <w:t>《</w:t>
      </w:r>
      <w:r>
        <w:rPr>
          <w:rFonts w:hint="default" w:ascii="Times New Roman" w:hAnsi="Times New Roman" w:cs="Times New Roman"/>
          <w:color w:val="auto"/>
          <w:sz w:val="24"/>
          <w:szCs w:val="28"/>
          <w:highlight w:val="none"/>
        </w:rPr>
        <w:t>公司章程</w:t>
      </w:r>
      <w:r>
        <w:rPr>
          <w:rFonts w:hint="eastAsia" w:ascii="Times New Roman" w:hAnsi="Times New Roman" w:cs="Times New Roman"/>
          <w:color w:val="auto"/>
          <w:sz w:val="24"/>
          <w:szCs w:val="28"/>
          <w:highlight w:val="none"/>
          <w:lang w:eastAsia="zh-CN"/>
        </w:rPr>
        <w:t>》</w:t>
      </w:r>
      <w:r>
        <w:rPr>
          <w:rFonts w:hint="default" w:ascii="Times New Roman" w:hAnsi="Times New Roman" w:cs="Times New Roman"/>
          <w:color w:val="auto"/>
          <w:sz w:val="24"/>
          <w:szCs w:val="28"/>
          <w:highlight w:val="none"/>
        </w:rPr>
        <w:t>的规定。</w:t>
      </w:r>
    </w:p>
    <w:p>
      <w:pPr>
        <w:keepNext w:val="0"/>
        <w:keepLines w:val="0"/>
        <w:pageBreakBefore w:val="0"/>
        <w:widowControl w:val="0"/>
        <w:kinsoku/>
        <w:overflowPunct/>
        <w:topLinePunct w:val="0"/>
        <w:autoSpaceDE/>
        <w:autoSpaceDN/>
        <w:bidi w:val="0"/>
        <w:adjustRightInd w:val="0"/>
        <w:snapToGrid w:val="0"/>
        <w:spacing w:line="380" w:lineRule="exact"/>
        <w:ind w:firstLine="482" w:firstLineChars="200"/>
        <w:textAlignment w:val="auto"/>
        <w:rPr>
          <w:rFonts w:hint="default" w:ascii="Times New Roman" w:hAnsi="Times New Roman" w:cs="Times New Roman"/>
          <w:color w:val="000000"/>
          <w:sz w:val="24"/>
          <w:szCs w:val="28"/>
          <w:highlight w:val="none"/>
        </w:rPr>
      </w:pPr>
      <w:r>
        <w:rPr>
          <w:rFonts w:ascii="Times New Roman" w:hAnsi="Times New Roman"/>
          <w:b/>
          <w:color w:val="000000"/>
          <w:sz w:val="24"/>
          <w:szCs w:val="28"/>
          <w:highlight w:val="none"/>
        </w:rPr>
        <w:t>二、董事会会议审议情况</w:t>
      </w:r>
    </w:p>
    <w:p>
      <w:pPr>
        <w:keepNext w:val="0"/>
        <w:keepLines w:val="0"/>
        <w:pageBreakBefore w:val="0"/>
        <w:widowControl w:val="0"/>
        <w:kinsoku/>
        <w:overflowPunct/>
        <w:topLinePunct w:val="0"/>
        <w:autoSpaceDE/>
        <w:autoSpaceDN/>
        <w:bidi w:val="0"/>
        <w:adjustRightInd w:val="0"/>
        <w:snapToGrid w:val="0"/>
        <w:spacing w:line="380" w:lineRule="exact"/>
        <w:ind w:firstLine="480" w:firstLineChars="200"/>
        <w:textAlignment w:val="auto"/>
        <w:rPr>
          <w:rFonts w:hint="default" w:ascii="Times New Roman" w:hAnsi="Times New Roman" w:eastAsia="宋体"/>
          <w:b/>
          <w:bCs/>
          <w:color w:val="000000"/>
          <w:sz w:val="24"/>
          <w:szCs w:val="28"/>
          <w:highlight w:val="none"/>
          <w:lang w:val="en-US" w:eastAsia="zh-CN"/>
        </w:rPr>
      </w:pPr>
      <w:r>
        <w:rPr>
          <w:rFonts w:hint="default" w:ascii="Times New Roman" w:hAnsi="Times New Roman" w:cs="Times New Roman"/>
          <w:color w:val="000000"/>
          <w:sz w:val="24"/>
          <w:szCs w:val="28"/>
          <w:highlight w:val="none"/>
        </w:rPr>
        <w:t>会议</w:t>
      </w:r>
      <w:r>
        <w:rPr>
          <w:rFonts w:hint="eastAsia" w:ascii="Times New Roman" w:hAnsi="Times New Roman" w:cs="Times New Roman"/>
          <w:color w:val="000000"/>
          <w:sz w:val="24"/>
          <w:szCs w:val="28"/>
          <w:highlight w:val="none"/>
          <w:lang w:val="en-US" w:eastAsia="zh-CN"/>
        </w:rPr>
        <w:t>经</w:t>
      </w:r>
      <w:r>
        <w:rPr>
          <w:rFonts w:hint="default" w:ascii="Times New Roman" w:hAnsi="Times New Roman" w:cs="Times New Roman"/>
          <w:color w:val="000000"/>
          <w:sz w:val="24"/>
          <w:szCs w:val="28"/>
          <w:highlight w:val="none"/>
        </w:rPr>
        <w:t>举手投票表决，</w:t>
      </w:r>
      <w:r>
        <w:rPr>
          <w:rFonts w:hint="default" w:ascii="Times New Roman" w:hAnsi="Times New Roman" w:cs="Times New Roman"/>
          <w:color w:val="000000"/>
          <w:sz w:val="24"/>
          <w:szCs w:val="28"/>
          <w:highlight w:val="none"/>
          <w:lang w:val="en-US" w:eastAsia="zh-CN"/>
        </w:rPr>
        <w:t>作</w:t>
      </w:r>
      <w:r>
        <w:rPr>
          <w:rFonts w:hint="default" w:ascii="Times New Roman" w:hAnsi="Times New Roman" w:cs="Times New Roman"/>
          <w:color w:val="000000"/>
          <w:sz w:val="24"/>
          <w:szCs w:val="28"/>
          <w:highlight w:val="none"/>
        </w:rPr>
        <w:t>出以下决议：</w:t>
      </w:r>
    </w:p>
    <w:p>
      <w:pPr>
        <w:keepNext w:val="0"/>
        <w:keepLines w:val="0"/>
        <w:pageBreakBefore w:val="0"/>
        <w:widowControl w:val="0"/>
        <w:numPr>
          <w:ilvl w:val="0"/>
          <w:numId w:val="1"/>
        </w:numPr>
        <w:kinsoku/>
        <w:overflowPunct/>
        <w:topLinePunct w:val="0"/>
        <w:autoSpaceDE/>
        <w:autoSpaceDN/>
        <w:bidi w:val="0"/>
        <w:adjustRightInd w:val="0"/>
        <w:snapToGrid w:val="0"/>
        <w:spacing w:line="380" w:lineRule="exact"/>
        <w:ind w:firstLine="482" w:firstLineChars="200"/>
        <w:textAlignment w:val="auto"/>
        <w:rPr>
          <w:rFonts w:hint="default" w:ascii="Times New Roman" w:hAnsi="Times New Roman" w:cs="Times New Roman"/>
          <w:b/>
          <w:bCs/>
          <w:color w:val="000000"/>
          <w:sz w:val="24"/>
          <w:szCs w:val="28"/>
          <w:highlight w:val="none"/>
        </w:rPr>
      </w:pPr>
      <w:r>
        <w:rPr>
          <w:rFonts w:hint="default" w:ascii="Times New Roman" w:hAnsi="Times New Roman" w:cs="Times New Roman"/>
          <w:b/>
          <w:bCs/>
          <w:color w:val="000000"/>
          <w:sz w:val="24"/>
          <w:szCs w:val="28"/>
          <w:highlight w:val="none"/>
        </w:rPr>
        <w:t>审议通过了《关于＜公司2025年半年度报告及摘要＞的议案》</w:t>
      </w:r>
    </w:p>
    <w:p>
      <w:pPr>
        <w:keepNext w:val="0"/>
        <w:keepLines w:val="0"/>
        <w:pageBreakBefore w:val="0"/>
        <w:widowControl w:val="0"/>
        <w:numPr>
          <w:ilvl w:val="0"/>
          <w:numId w:val="0"/>
        </w:numPr>
        <w:kinsoku/>
        <w:overflowPunct/>
        <w:topLinePunct w:val="0"/>
        <w:autoSpaceDE/>
        <w:autoSpaceDN/>
        <w:bidi w:val="0"/>
        <w:adjustRightInd w:val="0"/>
        <w:snapToGrid w:val="0"/>
        <w:spacing w:line="380" w:lineRule="exact"/>
        <w:ind w:firstLine="480" w:firstLineChars="200"/>
        <w:textAlignment w:val="auto"/>
        <w:rPr>
          <w:rFonts w:hint="eastAsia" w:ascii="Times New Roman Regular" w:hAnsi="Times New Roman Regular" w:eastAsia="宋体" w:cs="Times New Roman Regular"/>
          <w:color w:val="000000"/>
          <w:sz w:val="24"/>
          <w:szCs w:val="24"/>
          <w:lang w:val="en-US" w:eastAsia="zh-CN" w:bidi="ar"/>
        </w:rPr>
      </w:pPr>
      <w:r>
        <w:rPr>
          <w:rFonts w:hint="eastAsia" w:ascii="Times New Roman Regular" w:hAnsi="Times New Roman Regular" w:cs="Times New Roman Regular"/>
          <w:color w:val="000000"/>
          <w:sz w:val="24"/>
          <w:szCs w:val="24"/>
          <w:lang w:val="en-US" w:eastAsia="zh-CN" w:bidi="ar"/>
        </w:rPr>
        <w:t>公司董事会审计与风险委员会对该议案进行了审议，并发表了相关意见。</w:t>
      </w:r>
    </w:p>
    <w:p>
      <w:pPr>
        <w:keepNext w:val="0"/>
        <w:keepLines w:val="0"/>
        <w:pageBreakBefore w:val="0"/>
        <w:widowControl w:val="0"/>
        <w:numPr>
          <w:ilvl w:val="0"/>
          <w:numId w:val="0"/>
        </w:numPr>
        <w:kinsoku/>
        <w:overflowPunct/>
        <w:topLinePunct w:val="0"/>
        <w:autoSpaceDE/>
        <w:autoSpaceDN/>
        <w:bidi w:val="0"/>
        <w:adjustRightInd w:val="0"/>
        <w:snapToGrid w:val="0"/>
        <w:spacing w:line="380" w:lineRule="exact"/>
        <w:ind w:firstLine="480" w:firstLineChars="200"/>
        <w:textAlignment w:val="auto"/>
        <w:rPr>
          <w:rFonts w:hint="default" w:ascii="Times New Roman" w:hAnsi="Times New Roman" w:eastAsia="宋体"/>
          <w:b w:val="0"/>
          <w:bCs w:val="0"/>
          <w:color w:val="000000"/>
          <w:sz w:val="24"/>
          <w:szCs w:val="28"/>
          <w:highlight w:val="none"/>
          <w:lang w:val="en-US" w:eastAsia="zh-CN"/>
        </w:rPr>
      </w:pPr>
      <w:r>
        <w:rPr>
          <w:rFonts w:hint="default" w:ascii="Times New Roman" w:hAnsi="Times New Roman" w:eastAsia="宋体"/>
          <w:b w:val="0"/>
          <w:bCs w:val="0"/>
          <w:color w:val="000000"/>
          <w:sz w:val="24"/>
          <w:szCs w:val="28"/>
          <w:highlight w:val="none"/>
          <w:lang w:val="en-US" w:eastAsia="zh-CN"/>
        </w:rPr>
        <w:t>表决结果：</w:t>
      </w:r>
      <w:r>
        <w:rPr>
          <w:rFonts w:hint="eastAsia" w:ascii="Times New Roman" w:hAnsi="Times New Roman"/>
          <w:b w:val="0"/>
          <w:bCs w:val="0"/>
          <w:color w:val="000000"/>
          <w:sz w:val="24"/>
          <w:szCs w:val="28"/>
          <w:highlight w:val="none"/>
          <w:lang w:val="en-US" w:eastAsia="zh-CN"/>
        </w:rPr>
        <w:t>8</w:t>
      </w:r>
      <w:r>
        <w:rPr>
          <w:rFonts w:hint="default" w:ascii="Times New Roman" w:hAnsi="Times New Roman" w:eastAsia="宋体"/>
          <w:b w:val="0"/>
          <w:bCs w:val="0"/>
          <w:color w:val="000000"/>
          <w:sz w:val="24"/>
          <w:szCs w:val="28"/>
          <w:highlight w:val="none"/>
          <w:lang w:val="en-US" w:eastAsia="zh-CN"/>
        </w:rPr>
        <w:t>票同意，0票反对，0票弃权。</w:t>
      </w:r>
    </w:p>
    <w:p>
      <w:pPr>
        <w:keepNext w:val="0"/>
        <w:keepLines w:val="0"/>
        <w:pageBreakBefore w:val="0"/>
        <w:widowControl w:val="0"/>
        <w:kinsoku/>
        <w:overflowPunct/>
        <w:topLinePunct w:val="0"/>
        <w:autoSpaceDE/>
        <w:autoSpaceDN/>
        <w:bidi w:val="0"/>
        <w:adjustRightInd w:val="0"/>
        <w:snapToGrid w:val="0"/>
        <w:spacing w:line="380" w:lineRule="exact"/>
        <w:ind w:firstLine="480" w:firstLineChars="200"/>
        <w:textAlignment w:val="auto"/>
        <w:rPr>
          <w:rFonts w:hint="eastAsia" w:ascii="Times New Roman" w:hAnsi="Times New Roman" w:cs="Times New Roman"/>
          <w:b w:val="0"/>
          <w:bCs w:val="0"/>
          <w:color w:val="000000"/>
          <w:sz w:val="24"/>
          <w:szCs w:val="28"/>
          <w:highlight w:val="none"/>
          <w:lang w:eastAsia="zh-CN"/>
        </w:rPr>
      </w:pPr>
      <w:r>
        <w:rPr>
          <w:rFonts w:hint="eastAsia" w:ascii="Times New Roman Regular" w:hAnsi="Times New Roman Regular" w:cs="Times New Roman Regular"/>
          <w:color w:val="000000"/>
          <w:sz w:val="24"/>
          <w:szCs w:val="24"/>
        </w:rPr>
        <w:t>具体内容详见公司同日在巨潮资讯网上披露的《202</w:t>
      </w:r>
      <w:r>
        <w:rPr>
          <w:rFonts w:hint="eastAsia" w:ascii="Times New Roman Regular" w:hAnsi="Times New Roman Regular" w:cs="Times New Roman Regular"/>
          <w:color w:val="000000"/>
          <w:sz w:val="24"/>
          <w:szCs w:val="24"/>
          <w:lang w:val="en-US" w:eastAsia="zh-CN"/>
        </w:rPr>
        <w:t>5</w:t>
      </w:r>
      <w:r>
        <w:rPr>
          <w:rFonts w:hint="eastAsia" w:ascii="Times New Roman Regular" w:hAnsi="Times New Roman Regular" w:cs="Times New Roman Regular"/>
          <w:color w:val="000000"/>
          <w:sz w:val="24"/>
          <w:szCs w:val="24"/>
        </w:rPr>
        <w:t>年</w:t>
      </w:r>
      <w:r>
        <w:rPr>
          <w:rFonts w:hint="eastAsia" w:ascii="Times New Roman Regular" w:hAnsi="Times New Roman Regular" w:cs="Times New Roman Regular"/>
          <w:color w:val="000000"/>
          <w:sz w:val="24"/>
          <w:szCs w:val="24"/>
          <w:lang w:val="en-US" w:eastAsia="zh-CN"/>
        </w:rPr>
        <w:t>半</w:t>
      </w:r>
      <w:r>
        <w:rPr>
          <w:rFonts w:hint="eastAsia" w:ascii="Times New Roman Regular" w:hAnsi="Times New Roman Regular" w:cs="Times New Roman Regular"/>
          <w:color w:val="000000"/>
          <w:sz w:val="24"/>
          <w:szCs w:val="24"/>
        </w:rPr>
        <w:t>年度报告全文》和在《中国证券报》《证券时报》及巨潮资讯网上披露的《202</w:t>
      </w:r>
      <w:r>
        <w:rPr>
          <w:rFonts w:hint="eastAsia" w:ascii="Times New Roman Regular" w:hAnsi="Times New Roman Regular" w:cs="Times New Roman Regular"/>
          <w:color w:val="000000"/>
          <w:sz w:val="24"/>
          <w:szCs w:val="24"/>
          <w:lang w:val="en-US" w:eastAsia="zh-CN"/>
        </w:rPr>
        <w:t>5</w:t>
      </w:r>
      <w:r>
        <w:rPr>
          <w:rFonts w:hint="eastAsia" w:ascii="Times New Roman Regular" w:hAnsi="Times New Roman Regular" w:cs="Times New Roman Regular"/>
          <w:color w:val="000000"/>
          <w:sz w:val="24"/>
          <w:szCs w:val="24"/>
        </w:rPr>
        <w:t>年</w:t>
      </w:r>
      <w:r>
        <w:rPr>
          <w:rFonts w:hint="eastAsia" w:ascii="Times New Roman Regular" w:hAnsi="Times New Roman Regular" w:cs="Times New Roman Regular"/>
          <w:color w:val="000000"/>
          <w:sz w:val="24"/>
          <w:szCs w:val="24"/>
          <w:lang w:val="en-US" w:eastAsia="zh-CN"/>
        </w:rPr>
        <w:t>半</w:t>
      </w:r>
      <w:r>
        <w:rPr>
          <w:rFonts w:hint="eastAsia" w:ascii="Times New Roman Regular" w:hAnsi="Times New Roman Regular" w:cs="Times New Roman Regular"/>
          <w:color w:val="000000"/>
          <w:sz w:val="24"/>
          <w:szCs w:val="24"/>
        </w:rPr>
        <w:t>年度报告摘要》（公告编号：202</w:t>
      </w:r>
      <w:r>
        <w:rPr>
          <w:rFonts w:hint="eastAsia" w:ascii="Times New Roman Regular" w:hAnsi="Times New Roman Regular" w:cs="Times New Roman Regular"/>
          <w:color w:val="000000"/>
          <w:sz w:val="24"/>
          <w:szCs w:val="24"/>
          <w:lang w:val="en-US" w:eastAsia="zh-CN"/>
        </w:rPr>
        <w:t>5</w:t>
      </w:r>
      <w:r>
        <w:rPr>
          <w:rFonts w:hint="eastAsia" w:ascii="Times New Roman Regular" w:hAnsi="Times New Roman Regular" w:cs="Times New Roman Regular"/>
          <w:color w:val="000000"/>
          <w:sz w:val="24"/>
          <w:szCs w:val="24"/>
        </w:rPr>
        <w:t>-0</w:t>
      </w:r>
      <w:r>
        <w:rPr>
          <w:rFonts w:hint="eastAsia" w:ascii="Times New Roman Regular" w:hAnsi="Times New Roman Regular" w:cs="Times New Roman Regular"/>
          <w:color w:val="000000"/>
          <w:sz w:val="24"/>
          <w:szCs w:val="24"/>
          <w:lang w:val="en-US" w:eastAsia="zh-CN"/>
        </w:rPr>
        <w:t>58</w:t>
      </w:r>
      <w:r>
        <w:rPr>
          <w:rFonts w:hint="eastAsia" w:ascii="Times New Roman Regular" w:hAnsi="Times New Roman Regular" w:cs="Times New Roman Regular"/>
          <w:color w:val="000000"/>
          <w:sz w:val="24"/>
          <w:szCs w:val="24"/>
        </w:rPr>
        <w:t>）</w:t>
      </w:r>
      <w:r>
        <w:rPr>
          <w:rFonts w:hint="eastAsia" w:ascii="Times New Roman" w:hAnsi="Times New Roman" w:cs="Times New Roman"/>
          <w:b w:val="0"/>
          <w:bCs w:val="0"/>
          <w:color w:val="000000"/>
          <w:sz w:val="24"/>
          <w:szCs w:val="28"/>
          <w:highlight w:val="none"/>
          <w:lang w:eastAsia="zh-CN"/>
        </w:rPr>
        <w:t>。</w:t>
      </w:r>
    </w:p>
    <w:p>
      <w:pPr>
        <w:keepNext w:val="0"/>
        <w:keepLines w:val="0"/>
        <w:pageBreakBefore w:val="0"/>
        <w:widowControl w:val="0"/>
        <w:numPr>
          <w:ilvl w:val="0"/>
          <w:numId w:val="1"/>
        </w:numPr>
        <w:kinsoku/>
        <w:overflowPunct/>
        <w:topLinePunct w:val="0"/>
        <w:autoSpaceDE/>
        <w:autoSpaceDN/>
        <w:bidi w:val="0"/>
        <w:adjustRightInd w:val="0"/>
        <w:snapToGrid w:val="0"/>
        <w:spacing w:line="380" w:lineRule="exact"/>
        <w:ind w:left="0" w:leftChars="0" w:firstLine="482" w:firstLineChars="200"/>
        <w:textAlignment w:val="auto"/>
        <w:rPr>
          <w:rFonts w:hint="default" w:ascii="Times New Roman" w:hAnsi="Times New Roman" w:cs="Times New Roman"/>
          <w:b/>
          <w:bCs/>
          <w:color w:val="000000"/>
          <w:sz w:val="24"/>
          <w:szCs w:val="28"/>
          <w:highlight w:val="none"/>
        </w:rPr>
      </w:pPr>
      <w:r>
        <w:rPr>
          <w:rFonts w:hint="default" w:ascii="Times New Roman" w:hAnsi="Times New Roman" w:cs="Times New Roman"/>
          <w:b/>
          <w:bCs/>
          <w:color w:val="000000"/>
          <w:sz w:val="24"/>
          <w:szCs w:val="28"/>
          <w:highlight w:val="none"/>
        </w:rPr>
        <w:t>审议通过了《关于制定＜国家能源集团长源电力股份有限公司董事离职管理制度＞的议案》</w:t>
      </w:r>
    </w:p>
    <w:p>
      <w:pPr>
        <w:keepNext w:val="0"/>
        <w:keepLines w:val="0"/>
        <w:pageBreakBefore w:val="0"/>
        <w:widowControl w:val="0"/>
        <w:kinsoku/>
        <w:overflowPunct/>
        <w:topLinePunct w:val="0"/>
        <w:autoSpaceDE/>
        <w:autoSpaceDN/>
        <w:bidi w:val="0"/>
        <w:adjustRightInd w:val="0"/>
        <w:snapToGrid w:val="0"/>
        <w:spacing w:line="380" w:lineRule="exact"/>
        <w:ind w:firstLine="480" w:firstLineChars="200"/>
        <w:textAlignment w:val="auto"/>
        <w:rPr>
          <w:rFonts w:hint="default" w:ascii="Times New Roman" w:hAnsi="Times New Roman" w:cs="Times New Roman"/>
          <w:color w:val="000000"/>
          <w:sz w:val="24"/>
          <w:szCs w:val="28"/>
          <w:highlight w:val="none"/>
        </w:rPr>
      </w:pPr>
      <w:r>
        <w:rPr>
          <w:rFonts w:hint="default" w:ascii="Times New Roman" w:hAnsi="Times New Roman" w:cs="Times New Roman"/>
          <w:color w:val="000000"/>
          <w:sz w:val="24"/>
          <w:szCs w:val="28"/>
          <w:highlight w:val="none"/>
        </w:rPr>
        <w:t>表决结果：</w:t>
      </w:r>
      <w:r>
        <w:rPr>
          <w:rFonts w:hint="eastAsia" w:ascii="Times New Roman" w:hAnsi="Times New Roman" w:cs="Times New Roman"/>
          <w:color w:val="000000"/>
          <w:sz w:val="24"/>
          <w:szCs w:val="28"/>
          <w:highlight w:val="none"/>
          <w:lang w:val="en-US" w:eastAsia="zh-CN"/>
        </w:rPr>
        <w:t>8</w:t>
      </w:r>
      <w:r>
        <w:rPr>
          <w:rFonts w:hint="default" w:ascii="Times New Roman" w:hAnsi="Times New Roman" w:cs="Times New Roman"/>
          <w:color w:val="000000"/>
          <w:sz w:val="24"/>
          <w:szCs w:val="28"/>
          <w:highlight w:val="none"/>
        </w:rPr>
        <w:t>票同意，0票反对，0票弃权。</w:t>
      </w:r>
    </w:p>
    <w:p>
      <w:pPr>
        <w:keepNext w:val="0"/>
        <w:keepLines w:val="0"/>
        <w:pageBreakBefore w:val="0"/>
        <w:widowControl w:val="0"/>
        <w:kinsoku/>
        <w:overflowPunct/>
        <w:topLinePunct w:val="0"/>
        <w:autoSpaceDE/>
        <w:autoSpaceDN/>
        <w:bidi w:val="0"/>
        <w:adjustRightInd w:val="0"/>
        <w:snapToGrid w:val="0"/>
        <w:spacing w:line="380" w:lineRule="exact"/>
        <w:ind w:firstLine="480" w:firstLineChars="200"/>
        <w:textAlignment w:val="auto"/>
        <w:rPr>
          <w:rFonts w:hint="eastAsia" w:ascii="Times New Roman" w:hAnsi="Times New Roman" w:cs="Times New Roman"/>
          <w:b w:val="0"/>
          <w:bCs w:val="0"/>
          <w:color w:val="000000"/>
          <w:sz w:val="24"/>
          <w:szCs w:val="28"/>
          <w:highlight w:val="none"/>
          <w:lang w:val="en-US" w:eastAsia="zh-CN"/>
        </w:rPr>
      </w:pPr>
      <w:r>
        <w:rPr>
          <w:rFonts w:hint="default" w:ascii="Times New Roman" w:hAnsi="Times New Roman" w:eastAsia="宋体"/>
          <w:b w:val="0"/>
          <w:bCs w:val="0"/>
          <w:color w:val="000000"/>
          <w:sz w:val="24"/>
          <w:szCs w:val="28"/>
          <w:highlight w:val="none"/>
          <w:lang w:val="en-US" w:eastAsia="zh-CN"/>
        </w:rPr>
        <w:t>具体内容详见公司同日在巨潮资讯网上披露的</w:t>
      </w:r>
      <w:r>
        <w:rPr>
          <w:rFonts w:hint="eastAsia" w:ascii="Times New Roman" w:hAnsi="Times New Roman"/>
          <w:b w:val="0"/>
          <w:bCs w:val="0"/>
          <w:color w:val="000000"/>
          <w:sz w:val="24"/>
          <w:szCs w:val="28"/>
          <w:highlight w:val="none"/>
          <w:lang w:val="en-US" w:eastAsia="zh-CN"/>
        </w:rPr>
        <w:t>《国家能源集团长源电力股份有限公司董事离职管理制度》</w:t>
      </w:r>
      <w:r>
        <w:rPr>
          <w:rFonts w:hint="eastAsia" w:ascii="Times New Roman" w:hAnsi="Times New Roman" w:cs="Times New Roman"/>
          <w:b w:val="0"/>
          <w:bCs w:val="0"/>
          <w:color w:val="000000"/>
          <w:sz w:val="24"/>
          <w:szCs w:val="28"/>
          <w:highlight w:val="none"/>
          <w:lang w:val="en-US" w:eastAsia="zh-CN"/>
        </w:rPr>
        <w:t>。</w:t>
      </w:r>
    </w:p>
    <w:p>
      <w:pPr>
        <w:keepNext w:val="0"/>
        <w:keepLines w:val="0"/>
        <w:pageBreakBefore w:val="0"/>
        <w:widowControl w:val="0"/>
        <w:numPr>
          <w:ilvl w:val="0"/>
          <w:numId w:val="1"/>
        </w:numPr>
        <w:kinsoku/>
        <w:overflowPunct/>
        <w:topLinePunct w:val="0"/>
        <w:autoSpaceDE/>
        <w:autoSpaceDN/>
        <w:bidi w:val="0"/>
        <w:adjustRightInd w:val="0"/>
        <w:snapToGrid w:val="0"/>
        <w:spacing w:line="380" w:lineRule="exact"/>
        <w:ind w:left="0" w:leftChars="0" w:firstLine="482" w:firstLineChars="200"/>
        <w:textAlignment w:val="auto"/>
        <w:rPr>
          <w:rFonts w:hint="eastAsia" w:ascii="Times New Roman" w:hAnsi="Times New Roman" w:cs="Times New Roman"/>
          <w:b/>
          <w:bCs/>
          <w:color w:val="000000"/>
          <w:sz w:val="24"/>
          <w:szCs w:val="28"/>
          <w:highlight w:val="none"/>
          <w:lang w:val="en-US" w:eastAsia="zh-CN"/>
        </w:rPr>
      </w:pPr>
      <w:r>
        <w:rPr>
          <w:rFonts w:hint="eastAsia" w:ascii="Times New Roman" w:hAnsi="Times New Roman" w:cs="Times New Roman"/>
          <w:b/>
          <w:bCs/>
          <w:color w:val="000000"/>
          <w:sz w:val="24"/>
          <w:szCs w:val="28"/>
          <w:highlight w:val="none"/>
          <w:lang w:val="en-US" w:eastAsia="zh-CN"/>
        </w:rPr>
        <w:t>审议通过了《关于制定＜国家能源集团长源电力股份有限公司信息披露暂缓与豁免管理制度＞的议案》</w:t>
      </w:r>
    </w:p>
    <w:p>
      <w:pPr>
        <w:keepNext w:val="0"/>
        <w:keepLines w:val="0"/>
        <w:pageBreakBefore w:val="0"/>
        <w:widowControl w:val="0"/>
        <w:kinsoku/>
        <w:overflowPunct/>
        <w:topLinePunct w:val="0"/>
        <w:autoSpaceDE/>
        <w:autoSpaceDN/>
        <w:bidi w:val="0"/>
        <w:adjustRightInd w:val="0"/>
        <w:snapToGrid w:val="0"/>
        <w:spacing w:line="380" w:lineRule="exact"/>
        <w:ind w:firstLine="480" w:firstLineChars="200"/>
        <w:textAlignment w:val="auto"/>
        <w:rPr>
          <w:rFonts w:hint="eastAsia" w:ascii="Times New Roman" w:hAnsi="Times New Roman" w:cs="Times New Roman"/>
          <w:color w:val="000000"/>
          <w:sz w:val="24"/>
          <w:szCs w:val="28"/>
          <w:highlight w:val="none"/>
          <w:lang w:val="en-US" w:eastAsia="zh-CN"/>
        </w:rPr>
      </w:pPr>
      <w:r>
        <w:rPr>
          <w:rFonts w:hint="eastAsia" w:ascii="Times New Roman" w:hAnsi="Times New Roman" w:cs="Times New Roman"/>
          <w:color w:val="000000"/>
          <w:sz w:val="24"/>
          <w:szCs w:val="28"/>
          <w:highlight w:val="none"/>
          <w:lang w:val="en-US" w:eastAsia="zh-CN"/>
        </w:rPr>
        <w:t>表决结果：8票同意，0票反对，0票弃权。</w:t>
      </w:r>
    </w:p>
    <w:p>
      <w:pPr>
        <w:keepNext w:val="0"/>
        <w:keepLines w:val="0"/>
        <w:pageBreakBefore w:val="0"/>
        <w:widowControl w:val="0"/>
        <w:kinsoku/>
        <w:overflowPunct/>
        <w:topLinePunct w:val="0"/>
        <w:autoSpaceDE/>
        <w:autoSpaceDN/>
        <w:bidi w:val="0"/>
        <w:adjustRightInd w:val="0"/>
        <w:snapToGrid w:val="0"/>
        <w:spacing w:line="380" w:lineRule="exact"/>
        <w:ind w:firstLine="480" w:firstLineChars="200"/>
        <w:textAlignment w:val="auto"/>
        <w:rPr>
          <w:rFonts w:hint="eastAsia" w:ascii="Times New Roman" w:hAnsi="Times New Roman" w:cs="Times New Roman"/>
          <w:color w:val="000000"/>
          <w:sz w:val="24"/>
          <w:szCs w:val="28"/>
          <w:highlight w:val="none"/>
          <w:lang w:val="en-US" w:eastAsia="zh-CN"/>
        </w:rPr>
      </w:pPr>
      <w:r>
        <w:rPr>
          <w:rFonts w:hint="eastAsia" w:ascii="Times New Roman" w:hAnsi="Times New Roman" w:cs="Times New Roman"/>
          <w:color w:val="000000"/>
          <w:sz w:val="24"/>
          <w:szCs w:val="28"/>
          <w:highlight w:val="none"/>
          <w:lang w:val="en-US" w:eastAsia="zh-CN"/>
        </w:rPr>
        <w:t>具体内容详见公司同日在巨潮资讯网上披露的《国家能源集团长源电力股份有限公司信息披露暂缓与豁免管理制度》。</w:t>
      </w:r>
    </w:p>
    <w:p>
      <w:pPr>
        <w:keepNext w:val="0"/>
        <w:keepLines w:val="0"/>
        <w:pageBreakBefore w:val="0"/>
        <w:widowControl w:val="0"/>
        <w:numPr>
          <w:ilvl w:val="0"/>
          <w:numId w:val="1"/>
        </w:numPr>
        <w:kinsoku/>
        <w:overflowPunct/>
        <w:topLinePunct w:val="0"/>
        <w:autoSpaceDE/>
        <w:autoSpaceDN/>
        <w:bidi w:val="0"/>
        <w:adjustRightInd w:val="0"/>
        <w:snapToGrid w:val="0"/>
        <w:spacing w:line="380" w:lineRule="exact"/>
        <w:ind w:left="0" w:leftChars="0" w:firstLine="482" w:firstLineChars="200"/>
        <w:textAlignment w:val="auto"/>
        <w:rPr>
          <w:rFonts w:hint="default" w:ascii="Times New Roman" w:hAnsi="Times New Roman" w:cs="Times New Roman"/>
          <w:b/>
          <w:bCs/>
          <w:color w:val="000000"/>
          <w:sz w:val="24"/>
          <w:szCs w:val="28"/>
          <w:highlight w:val="none"/>
        </w:rPr>
      </w:pPr>
      <w:r>
        <w:rPr>
          <w:rFonts w:hint="default" w:ascii="Times New Roman" w:hAnsi="Times New Roman" w:cs="Times New Roman"/>
          <w:b/>
          <w:bCs/>
          <w:color w:val="000000"/>
          <w:sz w:val="24"/>
          <w:szCs w:val="28"/>
          <w:highlight w:val="none"/>
        </w:rPr>
        <w:t>审议通过了《关于制定＜国家能源集团长源电力股份有限公司市值管理制度＞的议案》</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textAlignment w:val="auto"/>
        <w:rPr>
          <w:rFonts w:hint="default" w:ascii="Times New Roman" w:hAnsi="Times New Roman" w:cs="Times New Roman"/>
          <w:color w:val="000000"/>
          <w:sz w:val="24"/>
          <w:szCs w:val="28"/>
          <w:highlight w:val="none"/>
        </w:rPr>
      </w:pPr>
      <w:r>
        <w:rPr>
          <w:rFonts w:hint="default" w:ascii="Times New Roman" w:hAnsi="Times New Roman" w:cs="Times New Roman"/>
          <w:color w:val="000000"/>
          <w:sz w:val="24"/>
          <w:szCs w:val="28"/>
          <w:highlight w:val="none"/>
        </w:rPr>
        <w:t>表决结果：</w:t>
      </w:r>
      <w:r>
        <w:rPr>
          <w:rFonts w:hint="eastAsia" w:ascii="Times New Roman" w:hAnsi="Times New Roman" w:cs="Times New Roman"/>
          <w:color w:val="000000"/>
          <w:sz w:val="24"/>
          <w:szCs w:val="28"/>
          <w:highlight w:val="none"/>
          <w:lang w:val="en-US" w:eastAsia="zh-CN"/>
        </w:rPr>
        <w:t>8</w:t>
      </w:r>
      <w:r>
        <w:rPr>
          <w:rFonts w:hint="default" w:ascii="Times New Roman" w:hAnsi="Times New Roman" w:cs="Times New Roman"/>
          <w:color w:val="000000"/>
          <w:sz w:val="24"/>
          <w:szCs w:val="28"/>
          <w:highlight w:val="none"/>
        </w:rPr>
        <w:t>票同意，0票反对，0票弃权。</w:t>
      </w:r>
    </w:p>
    <w:p>
      <w:pPr>
        <w:pStyle w:val="19"/>
        <w:keepNext w:val="0"/>
        <w:keepLines w:val="0"/>
        <w:pageBreakBefore w:val="0"/>
        <w:widowControl w:val="0"/>
        <w:kinsoku/>
        <w:wordWrap/>
        <w:overflowPunct/>
        <w:topLinePunct w:val="0"/>
        <w:bidi w:val="0"/>
        <w:adjustRightInd w:val="0"/>
        <w:spacing w:line="380" w:lineRule="exact"/>
        <w:ind w:firstLine="480" w:firstLineChars="200"/>
        <w:textAlignment w:val="auto"/>
        <w:rPr>
          <w:rFonts w:hint="eastAsia" w:ascii="Times New Roman" w:hAnsi="Times New Roman" w:eastAsia="宋体"/>
          <w:b w:val="0"/>
          <w:bCs w:val="0"/>
          <w:color w:val="000000"/>
          <w:sz w:val="24"/>
          <w:szCs w:val="28"/>
          <w:highlight w:val="none"/>
          <w:lang w:val="en-US" w:eastAsia="zh-CN"/>
        </w:rPr>
      </w:pPr>
      <w:r>
        <w:rPr>
          <w:rFonts w:hint="default" w:ascii="Times New Roman" w:hAnsi="Times New Roman" w:eastAsia="宋体"/>
          <w:b w:val="0"/>
          <w:bCs w:val="0"/>
          <w:color w:val="000000"/>
          <w:sz w:val="24"/>
          <w:szCs w:val="28"/>
          <w:highlight w:val="none"/>
          <w:lang w:val="en-US" w:eastAsia="zh-CN"/>
        </w:rPr>
        <w:t>具体内容详见公司同日在巨潮资讯网上披露的《国家能源集团长源电力股份有限公司市值管理制度》</w:t>
      </w:r>
      <w:r>
        <w:rPr>
          <w:rFonts w:hint="eastAsia" w:ascii="Times New Roman" w:hAnsi="Times New Roman" w:eastAsia="宋体"/>
          <w:b w:val="0"/>
          <w:bCs w:val="0"/>
          <w:color w:val="000000"/>
          <w:sz w:val="24"/>
          <w:szCs w:val="28"/>
          <w:highlight w:val="none"/>
          <w:lang w:val="en-US" w:eastAsia="zh-CN"/>
        </w:rPr>
        <w:t>。</w:t>
      </w:r>
    </w:p>
    <w:p>
      <w:pPr>
        <w:pStyle w:val="19"/>
        <w:ind w:firstLine="482" w:firstLineChars="200"/>
        <w:rPr>
          <w:rFonts w:hint="default" w:ascii="Times New Roman" w:hAnsi="Times New Roman" w:eastAsia="宋体"/>
          <w:b/>
          <w:bCs/>
          <w:color w:val="000000"/>
          <w:sz w:val="24"/>
          <w:szCs w:val="28"/>
          <w:highlight w:val="none"/>
          <w:lang w:val="en-US" w:eastAsia="zh-CN"/>
        </w:rPr>
      </w:pPr>
      <w:r>
        <w:rPr>
          <w:rFonts w:hint="default" w:ascii="Times New Roman" w:hAnsi="Times New Roman" w:eastAsia="宋体"/>
          <w:b/>
          <w:bCs/>
          <w:color w:val="000000"/>
          <w:sz w:val="24"/>
          <w:szCs w:val="28"/>
          <w:highlight w:val="none"/>
          <w:lang w:val="en-US" w:eastAsia="zh-CN"/>
        </w:rPr>
        <w:t>5．审议通过了《关于修订＜国家能源集团长源电力股份有限公司董事会授权管理办法（试行）＞等四项制度的议案》</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textAlignment w:val="auto"/>
        <w:rPr>
          <w:rFonts w:hint="default" w:ascii="Times New Roman" w:hAnsi="Times New Roman" w:cs="Times New Roman"/>
          <w:color w:val="000000"/>
          <w:sz w:val="24"/>
          <w:szCs w:val="28"/>
          <w:highlight w:val="none"/>
        </w:rPr>
      </w:pPr>
      <w:r>
        <w:rPr>
          <w:rFonts w:hint="default" w:ascii="Times New Roman" w:hAnsi="Times New Roman" w:cs="Times New Roman"/>
          <w:color w:val="000000"/>
          <w:sz w:val="24"/>
          <w:szCs w:val="28"/>
          <w:highlight w:val="none"/>
        </w:rPr>
        <w:t>表决结果：</w:t>
      </w:r>
      <w:r>
        <w:rPr>
          <w:rFonts w:hint="eastAsia" w:ascii="Times New Roman" w:hAnsi="Times New Roman" w:cs="Times New Roman"/>
          <w:color w:val="000000"/>
          <w:sz w:val="24"/>
          <w:szCs w:val="28"/>
          <w:highlight w:val="none"/>
          <w:lang w:val="en-US" w:eastAsia="zh-CN"/>
        </w:rPr>
        <w:t>8</w:t>
      </w:r>
      <w:r>
        <w:rPr>
          <w:rFonts w:hint="default" w:ascii="Times New Roman" w:hAnsi="Times New Roman" w:cs="Times New Roman"/>
          <w:color w:val="000000"/>
          <w:sz w:val="24"/>
          <w:szCs w:val="28"/>
          <w:highlight w:val="none"/>
        </w:rPr>
        <w:t>票同意，0票反对，0票弃权。</w:t>
      </w:r>
    </w:p>
    <w:p>
      <w:pPr>
        <w:pStyle w:val="19"/>
        <w:keepNext w:val="0"/>
        <w:keepLines w:val="0"/>
        <w:pageBreakBefore w:val="0"/>
        <w:widowControl w:val="0"/>
        <w:kinsoku/>
        <w:wordWrap/>
        <w:overflowPunct/>
        <w:topLinePunct w:val="0"/>
        <w:autoSpaceDE w:val="0"/>
        <w:autoSpaceDN w:val="0"/>
        <w:bidi w:val="0"/>
        <w:adjustRightInd w:val="0"/>
        <w:snapToGrid/>
        <w:spacing w:line="380" w:lineRule="exact"/>
        <w:ind w:firstLine="480" w:firstLineChars="200"/>
        <w:textAlignment w:val="auto"/>
        <w:rPr>
          <w:rFonts w:hint="eastAsia" w:ascii="Times New Roman" w:hAnsi="Times New Roman" w:eastAsia="宋体"/>
          <w:b w:val="0"/>
          <w:bCs w:val="0"/>
          <w:color w:val="000000"/>
          <w:sz w:val="24"/>
          <w:szCs w:val="28"/>
          <w:highlight w:val="none"/>
          <w:lang w:val="en-US" w:eastAsia="zh-CN"/>
        </w:rPr>
      </w:pPr>
      <w:r>
        <w:rPr>
          <w:rFonts w:hint="default" w:ascii="Times New Roman" w:hAnsi="Times New Roman" w:eastAsia="宋体"/>
          <w:b w:val="0"/>
          <w:bCs w:val="0"/>
          <w:color w:val="000000"/>
          <w:sz w:val="24"/>
          <w:szCs w:val="28"/>
          <w:highlight w:val="none"/>
          <w:lang w:val="en-US" w:eastAsia="zh-CN"/>
        </w:rPr>
        <w:t>具体内容详见公司同日在巨潮资讯网上披露的《国家能源集团长源电力股份有限公司董事会授权管理办法》</w:t>
      </w:r>
      <w:r>
        <w:rPr>
          <w:rFonts w:hint="eastAsia" w:ascii="Times New Roman" w:hAnsi="Times New Roman" w:eastAsia="宋体"/>
          <w:b w:val="0"/>
          <w:bCs w:val="0"/>
          <w:color w:val="000000"/>
          <w:sz w:val="24"/>
          <w:szCs w:val="28"/>
          <w:highlight w:val="none"/>
          <w:lang w:val="en-US" w:eastAsia="zh-CN"/>
        </w:rPr>
        <w:t>《国家能源集团长源电力股份有限公司股东会议事规则（第三版）》《国家能源集团长源电力股份有限公司董事会议事规则（第三版）》《国家能源集团长源电力股份有限公司独立董事工作制度（第四版）》。</w:t>
      </w:r>
    </w:p>
    <w:p>
      <w:pPr>
        <w:pStyle w:val="19"/>
        <w:keepNext w:val="0"/>
        <w:keepLines w:val="0"/>
        <w:pageBreakBefore w:val="0"/>
        <w:widowControl w:val="0"/>
        <w:kinsoku/>
        <w:wordWrap/>
        <w:overflowPunct/>
        <w:topLinePunct w:val="0"/>
        <w:autoSpaceDE w:val="0"/>
        <w:autoSpaceDN w:val="0"/>
        <w:bidi w:val="0"/>
        <w:adjustRightInd w:val="0"/>
        <w:snapToGrid/>
        <w:spacing w:line="380" w:lineRule="exact"/>
        <w:ind w:firstLine="480" w:firstLineChars="200"/>
        <w:textAlignment w:val="auto"/>
        <w:rPr>
          <w:rFonts w:hint="eastAsia" w:ascii="Times New Roman" w:hAnsi="Times New Roman" w:eastAsia="宋体"/>
          <w:b w:val="0"/>
          <w:bCs w:val="0"/>
          <w:color w:val="000000"/>
          <w:sz w:val="24"/>
          <w:szCs w:val="28"/>
          <w:highlight w:val="none"/>
          <w:lang w:val="en-US" w:eastAsia="zh-CN"/>
        </w:rPr>
      </w:pPr>
      <w:r>
        <w:rPr>
          <w:rFonts w:hint="default" w:ascii="Times New Roman" w:hAnsi="Times New Roman" w:eastAsia="宋体"/>
          <w:b w:val="0"/>
          <w:bCs w:val="0"/>
          <w:color w:val="auto"/>
          <w:sz w:val="24"/>
          <w:szCs w:val="28"/>
          <w:highlight w:val="none"/>
          <w:lang w:val="en-US" w:eastAsia="zh-CN"/>
        </w:rPr>
        <w:t>该议案</w:t>
      </w:r>
      <w:r>
        <w:rPr>
          <w:rFonts w:hint="eastAsia" w:ascii="Times New Roman" w:hAnsi="Times New Roman" w:eastAsia="宋体"/>
          <w:b w:val="0"/>
          <w:bCs w:val="0"/>
          <w:color w:val="auto"/>
          <w:sz w:val="24"/>
          <w:szCs w:val="28"/>
          <w:highlight w:val="none"/>
          <w:lang w:val="en-US" w:eastAsia="zh-CN"/>
        </w:rPr>
        <w:t>中的《国家能源</w:t>
      </w:r>
      <w:r>
        <w:rPr>
          <w:rFonts w:hint="eastAsia" w:ascii="Times New Roman" w:hAnsi="Times New Roman" w:eastAsia="宋体"/>
          <w:b w:val="0"/>
          <w:bCs w:val="0"/>
          <w:color w:val="000000"/>
          <w:sz w:val="24"/>
          <w:szCs w:val="28"/>
          <w:highlight w:val="none"/>
          <w:lang w:val="en-US" w:eastAsia="zh-CN"/>
        </w:rPr>
        <w:t>集团长源电力股份有限公司股东会议事规则（第三版）》《国家能源集团长源电力股份有限公司董事会议事规则（第三版）》</w:t>
      </w:r>
      <w:r>
        <w:rPr>
          <w:rFonts w:hint="default" w:ascii="Times New Roman" w:hAnsi="Times New Roman" w:eastAsia="宋体"/>
          <w:b w:val="0"/>
          <w:bCs w:val="0"/>
          <w:color w:val="000000"/>
          <w:sz w:val="24"/>
          <w:szCs w:val="28"/>
          <w:highlight w:val="none"/>
          <w:lang w:val="en-US" w:eastAsia="zh-CN"/>
        </w:rPr>
        <w:t>需提交公司股东会审议</w:t>
      </w:r>
      <w:r>
        <w:rPr>
          <w:rFonts w:hint="eastAsia" w:ascii="Times New Roman" w:hAnsi="Times New Roman" w:eastAsia="宋体"/>
          <w:b w:val="0"/>
          <w:bCs w:val="0"/>
          <w:color w:val="000000"/>
          <w:sz w:val="24"/>
          <w:szCs w:val="28"/>
          <w:highlight w:val="none"/>
          <w:lang w:val="en-US" w:eastAsia="zh-CN"/>
        </w:rPr>
        <w:t>。</w:t>
      </w:r>
    </w:p>
    <w:p>
      <w:pPr>
        <w:keepNext w:val="0"/>
        <w:keepLines w:val="0"/>
        <w:pageBreakBefore w:val="0"/>
        <w:widowControl w:val="0"/>
        <w:numPr>
          <w:ilvl w:val="0"/>
          <w:numId w:val="0"/>
        </w:numPr>
        <w:kinsoku/>
        <w:overflowPunct/>
        <w:topLinePunct w:val="0"/>
        <w:autoSpaceDE/>
        <w:autoSpaceDN/>
        <w:bidi w:val="0"/>
        <w:adjustRightInd w:val="0"/>
        <w:snapToGrid w:val="0"/>
        <w:spacing w:line="380" w:lineRule="exact"/>
        <w:ind w:firstLine="482" w:firstLineChars="200"/>
        <w:textAlignment w:val="auto"/>
        <w:rPr>
          <w:rFonts w:hint="default" w:ascii="Times New Roman" w:hAnsi="Times New Roman" w:cs="Times New Roman"/>
          <w:b/>
          <w:bCs/>
          <w:color w:val="000000"/>
          <w:sz w:val="24"/>
          <w:szCs w:val="28"/>
          <w:highlight w:val="none"/>
        </w:rPr>
      </w:pPr>
      <w:r>
        <w:rPr>
          <w:rFonts w:hint="eastAsia" w:ascii="Times New Roman" w:hAnsi="Times New Roman" w:cs="Times New Roman"/>
          <w:b/>
          <w:bCs/>
          <w:color w:val="000000"/>
          <w:sz w:val="24"/>
          <w:szCs w:val="28"/>
          <w:highlight w:val="none"/>
          <w:lang w:val="en-US" w:eastAsia="zh-CN"/>
        </w:rPr>
        <w:t xml:space="preserve">6. </w:t>
      </w:r>
      <w:r>
        <w:rPr>
          <w:rFonts w:hint="default" w:ascii="Times New Roman" w:hAnsi="Times New Roman" w:cs="Times New Roman"/>
          <w:b/>
          <w:bCs/>
          <w:color w:val="000000"/>
          <w:sz w:val="24"/>
          <w:szCs w:val="28"/>
          <w:highlight w:val="none"/>
        </w:rPr>
        <w:t>审议通过了《关于修订＜国家能源集团长源电力股份有限公司董事会秘书工作规则＞等十项制度的议案》</w:t>
      </w:r>
    </w:p>
    <w:p>
      <w:pPr>
        <w:keepNext w:val="0"/>
        <w:keepLines w:val="0"/>
        <w:pageBreakBefore w:val="0"/>
        <w:widowControl w:val="0"/>
        <w:kinsoku/>
        <w:overflowPunct/>
        <w:topLinePunct w:val="0"/>
        <w:autoSpaceDE/>
        <w:autoSpaceDN/>
        <w:bidi w:val="0"/>
        <w:adjustRightInd w:val="0"/>
        <w:snapToGrid w:val="0"/>
        <w:spacing w:line="380" w:lineRule="exact"/>
        <w:ind w:firstLine="480" w:firstLineChars="200"/>
        <w:textAlignment w:val="auto"/>
        <w:rPr>
          <w:rFonts w:hint="default" w:ascii="Times New Roman" w:hAnsi="Times New Roman" w:cs="Times New Roman"/>
          <w:color w:val="000000"/>
          <w:sz w:val="24"/>
          <w:szCs w:val="28"/>
          <w:highlight w:val="none"/>
        </w:rPr>
      </w:pPr>
      <w:r>
        <w:rPr>
          <w:rFonts w:hint="default" w:ascii="Times New Roman" w:hAnsi="Times New Roman" w:cs="Times New Roman"/>
          <w:color w:val="000000"/>
          <w:sz w:val="24"/>
          <w:szCs w:val="28"/>
          <w:highlight w:val="none"/>
        </w:rPr>
        <w:t>表决结果：</w:t>
      </w:r>
      <w:r>
        <w:rPr>
          <w:rFonts w:hint="eastAsia" w:ascii="Times New Roman" w:hAnsi="Times New Roman" w:cs="Times New Roman"/>
          <w:color w:val="000000"/>
          <w:sz w:val="24"/>
          <w:szCs w:val="28"/>
          <w:highlight w:val="none"/>
          <w:lang w:val="en-US" w:eastAsia="zh-CN"/>
        </w:rPr>
        <w:t>8</w:t>
      </w:r>
      <w:r>
        <w:rPr>
          <w:rFonts w:hint="default" w:ascii="Times New Roman" w:hAnsi="Times New Roman" w:cs="Times New Roman"/>
          <w:color w:val="000000"/>
          <w:sz w:val="24"/>
          <w:szCs w:val="28"/>
          <w:highlight w:val="none"/>
        </w:rPr>
        <w:t>票同意，0票反对，0票弃权。</w:t>
      </w:r>
    </w:p>
    <w:p>
      <w:pPr>
        <w:pStyle w:val="19"/>
        <w:keepNext w:val="0"/>
        <w:keepLines w:val="0"/>
        <w:pageBreakBefore w:val="0"/>
        <w:widowControl w:val="0"/>
        <w:kinsoku/>
        <w:wordWrap/>
        <w:overflowPunct/>
        <w:topLinePunct w:val="0"/>
        <w:autoSpaceDE w:val="0"/>
        <w:autoSpaceDN w:val="0"/>
        <w:bidi w:val="0"/>
        <w:adjustRightInd w:val="0"/>
        <w:snapToGrid/>
        <w:spacing w:line="380" w:lineRule="exact"/>
        <w:ind w:firstLine="480" w:firstLineChars="200"/>
        <w:textAlignment w:val="auto"/>
        <w:rPr>
          <w:rFonts w:hint="eastAsia" w:ascii="Times New Roman" w:hAnsi="Times New Roman" w:eastAsia="宋体"/>
          <w:b w:val="0"/>
          <w:bCs w:val="0"/>
          <w:color w:val="000000"/>
          <w:sz w:val="24"/>
          <w:szCs w:val="28"/>
          <w:highlight w:val="none"/>
          <w:lang w:val="en-US" w:eastAsia="zh-CN"/>
        </w:rPr>
      </w:pPr>
      <w:r>
        <w:rPr>
          <w:rFonts w:hint="default" w:ascii="Times New Roman" w:hAnsi="Times New Roman" w:eastAsia="宋体"/>
          <w:b w:val="0"/>
          <w:bCs w:val="0"/>
          <w:color w:val="000000"/>
          <w:sz w:val="24"/>
          <w:szCs w:val="28"/>
          <w:highlight w:val="none"/>
          <w:lang w:val="en-US" w:eastAsia="zh-CN"/>
        </w:rPr>
        <w:t>具体内容详见公司同日在巨潮</w:t>
      </w:r>
      <w:r>
        <w:rPr>
          <w:rFonts w:hint="default" w:ascii="Times New Roman Regular" w:hAnsi="Times New Roman Regular" w:eastAsia="宋体" w:cs="Times New Roman Regular"/>
          <w:color w:val="000000"/>
          <w:kern w:val="2"/>
          <w:sz w:val="24"/>
          <w:szCs w:val="24"/>
          <w:lang w:val="en-US" w:eastAsia="zh-CN" w:bidi="ar"/>
        </w:rPr>
        <w:t>资讯网上披露的《国家能源集团长源电力股份有限公司董事会秘书工作规则（第二版）》《国家能源集团长源电力股份有限公司董事</w:t>
      </w:r>
      <w:r>
        <w:rPr>
          <w:rFonts w:hint="eastAsia" w:ascii="Times New Roman Regular" w:hAnsi="Times New Roman Regular" w:eastAsia="宋体" w:cs="Times New Roman Regular"/>
          <w:color w:val="000000"/>
          <w:kern w:val="2"/>
          <w:sz w:val="24"/>
          <w:szCs w:val="24"/>
          <w:lang w:val="en-US" w:eastAsia="zh-CN" w:bidi="ar"/>
        </w:rPr>
        <w:t>和</w:t>
      </w:r>
      <w:r>
        <w:rPr>
          <w:rFonts w:hint="default" w:ascii="Times New Roman Regular" w:hAnsi="Times New Roman Regular" w:eastAsia="宋体" w:cs="Times New Roman Regular"/>
          <w:color w:val="000000"/>
          <w:kern w:val="2"/>
          <w:sz w:val="24"/>
          <w:szCs w:val="24"/>
          <w:lang w:val="en-US" w:eastAsia="zh-CN" w:bidi="ar"/>
        </w:rPr>
        <w:t>高级管理人员所持本公司股份及其变动管理办法（第三版）》《国家能源集团长源电力股份有限公司债务融资工具信息披露事务管理制度（第三版）》《国家能源集团长源电力股份有限公司信息披露管理制度（第三版）》《国家能源集团长源电力股份有限公司投资者关系管理制度（第三版）》《国家能源集团长源电力股份有限公司年报信息披露重大差错责任追究制度（第二版）》《国家能源集团长源电力股份有限公司接待和推广工作制度（第二版）》《国家能源集团长源电力股份有限公司董事会审计与风险委员会年报工作规程（第三版）》《国家能源集团长源电力股份有限公司内幕信息知情人登记</w:t>
      </w:r>
      <w:r>
        <w:rPr>
          <w:rFonts w:hint="default" w:ascii="Times New Roman" w:hAnsi="Times New Roman" w:eastAsia="宋体"/>
          <w:b w:val="0"/>
          <w:bCs w:val="0"/>
          <w:color w:val="000000"/>
          <w:sz w:val="24"/>
          <w:szCs w:val="28"/>
          <w:highlight w:val="none"/>
          <w:lang w:val="en-US" w:eastAsia="zh-CN"/>
        </w:rPr>
        <w:t>管理制度（第四版）》《国家能源集团长源电力股份有限公司募集资金使用与管理制度（第三版）》</w:t>
      </w:r>
      <w:r>
        <w:rPr>
          <w:rFonts w:hint="eastAsia" w:ascii="Times New Roman" w:hAnsi="Times New Roman" w:eastAsia="宋体"/>
          <w:b w:val="0"/>
          <w:bCs w:val="0"/>
          <w:color w:val="000000"/>
          <w:sz w:val="24"/>
          <w:szCs w:val="28"/>
          <w:highlight w:val="none"/>
          <w:lang w:val="en-US" w:eastAsia="zh-CN"/>
        </w:rPr>
        <w:t>。</w:t>
      </w:r>
    </w:p>
    <w:p>
      <w:pPr>
        <w:keepNext w:val="0"/>
        <w:keepLines w:val="0"/>
        <w:pageBreakBefore w:val="0"/>
        <w:widowControl w:val="0"/>
        <w:numPr>
          <w:ilvl w:val="0"/>
          <w:numId w:val="0"/>
        </w:numPr>
        <w:kinsoku/>
        <w:overflowPunct/>
        <w:topLinePunct w:val="0"/>
        <w:autoSpaceDE/>
        <w:autoSpaceDN/>
        <w:bidi w:val="0"/>
        <w:adjustRightInd w:val="0"/>
        <w:snapToGrid w:val="0"/>
        <w:spacing w:line="380" w:lineRule="exact"/>
        <w:ind w:firstLine="482" w:firstLineChars="200"/>
        <w:textAlignment w:val="auto"/>
        <w:rPr>
          <w:rFonts w:hint="default" w:ascii="Times New Roman" w:hAnsi="Times New Roman" w:cs="Times New Roman"/>
          <w:b/>
          <w:bCs/>
          <w:color w:val="000000"/>
          <w:sz w:val="24"/>
          <w:szCs w:val="28"/>
          <w:highlight w:val="none"/>
        </w:rPr>
      </w:pPr>
      <w:r>
        <w:rPr>
          <w:rFonts w:hint="eastAsia" w:ascii="Times New Roman" w:hAnsi="Times New Roman" w:cs="Times New Roman"/>
          <w:b/>
          <w:bCs/>
          <w:color w:val="000000"/>
          <w:sz w:val="24"/>
          <w:szCs w:val="28"/>
          <w:highlight w:val="none"/>
          <w:lang w:val="en-US" w:eastAsia="zh-CN"/>
        </w:rPr>
        <w:t xml:space="preserve">7. </w:t>
      </w:r>
      <w:r>
        <w:rPr>
          <w:rFonts w:hint="default" w:ascii="Times New Roman" w:hAnsi="Times New Roman" w:cs="Times New Roman"/>
          <w:b/>
          <w:bCs/>
          <w:color w:val="000000"/>
          <w:sz w:val="24"/>
          <w:szCs w:val="28"/>
          <w:highlight w:val="none"/>
        </w:rPr>
        <w:t>审议通过了《关于修订公司董事会四个专门委员会实施细则的议案》</w:t>
      </w:r>
    </w:p>
    <w:p>
      <w:pPr>
        <w:keepNext w:val="0"/>
        <w:keepLines w:val="0"/>
        <w:pageBreakBefore w:val="0"/>
        <w:widowControl w:val="0"/>
        <w:kinsoku/>
        <w:overflowPunct/>
        <w:topLinePunct w:val="0"/>
        <w:autoSpaceDE/>
        <w:autoSpaceDN/>
        <w:bidi w:val="0"/>
        <w:adjustRightInd w:val="0"/>
        <w:snapToGrid w:val="0"/>
        <w:spacing w:line="380" w:lineRule="exact"/>
        <w:ind w:firstLine="480" w:firstLineChars="200"/>
        <w:textAlignment w:val="auto"/>
        <w:rPr>
          <w:rFonts w:hint="eastAsia" w:ascii="Times New Roman" w:hAnsi="Times New Roman" w:eastAsia="宋体" w:cs="Times New Roman"/>
          <w:color w:val="000000"/>
          <w:sz w:val="24"/>
          <w:szCs w:val="28"/>
          <w:highlight w:val="none"/>
          <w:lang w:eastAsia="zh-CN"/>
        </w:rPr>
      </w:pPr>
      <w:r>
        <w:rPr>
          <w:rFonts w:hint="default" w:ascii="Times New Roman" w:hAnsi="Times New Roman" w:cs="Times New Roman"/>
          <w:color w:val="000000"/>
          <w:sz w:val="24"/>
          <w:szCs w:val="28"/>
          <w:highlight w:val="none"/>
        </w:rPr>
        <w:t>公司董事会审计与风险委员会、战略（ESG）委员会、提名委员会和薪酬与考核委员会分别对该议案中的对应实施细则进行了审议，并发表了相关意见</w:t>
      </w:r>
      <w:r>
        <w:rPr>
          <w:rFonts w:hint="eastAsia" w:ascii="Times New Roman" w:hAnsi="Times New Roman" w:cs="Times New Roman"/>
          <w:color w:val="000000"/>
          <w:sz w:val="24"/>
          <w:szCs w:val="28"/>
          <w:highlight w:val="none"/>
          <w:lang w:eastAsia="zh-CN"/>
        </w:rPr>
        <w:t>。</w:t>
      </w:r>
    </w:p>
    <w:p>
      <w:pPr>
        <w:keepNext w:val="0"/>
        <w:keepLines w:val="0"/>
        <w:pageBreakBefore w:val="0"/>
        <w:widowControl w:val="0"/>
        <w:kinsoku/>
        <w:overflowPunct/>
        <w:topLinePunct w:val="0"/>
        <w:autoSpaceDE/>
        <w:autoSpaceDN/>
        <w:bidi w:val="0"/>
        <w:adjustRightInd w:val="0"/>
        <w:snapToGrid w:val="0"/>
        <w:spacing w:line="380" w:lineRule="exact"/>
        <w:ind w:firstLine="480" w:firstLineChars="200"/>
        <w:textAlignment w:val="auto"/>
        <w:rPr>
          <w:rFonts w:hint="default" w:ascii="Times New Roman" w:hAnsi="Times New Roman" w:cs="Times New Roman"/>
          <w:color w:val="000000"/>
          <w:sz w:val="24"/>
          <w:szCs w:val="28"/>
          <w:highlight w:val="none"/>
        </w:rPr>
      </w:pPr>
      <w:r>
        <w:rPr>
          <w:rFonts w:hint="default" w:ascii="Times New Roman" w:hAnsi="Times New Roman" w:cs="Times New Roman"/>
          <w:color w:val="000000"/>
          <w:sz w:val="24"/>
          <w:szCs w:val="28"/>
          <w:highlight w:val="none"/>
        </w:rPr>
        <w:t>表决结果：</w:t>
      </w:r>
      <w:r>
        <w:rPr>
          <w:rFonts w:hint="eastAsia" w:ascii="Times New Roman" w:hAnsi="Times New Roman" w:cs="Times New Roman"/>
          <w:color w:val="000000"/>
          <w:sz w:val="24"/>
          <w:szCs w:val="28"/>
          <w:highlight w:val="none"/>
          <w:lang w:val="en-US" w:eastAsia="zh-CN"/>
        </w:rPr>
        <w:t>8</w:t>
      </w:r>
      <w:r>
        <w:rPr>
          <w:rFonts w:hint="default" w:ascii="Times New Roman" w:hAnsi="Times New Roman" w:cs="Times New Roman"/>
          <w:color w:val="000000"/>
          <w:sz w:val="24"/>
          <w:szCs w:val="28"/>
          <w:highlight w:val="none"/>
        </w:rPr>
        <w:t>票同意，0票反对，0票弃权。</w:t>
      </w:r>
    </w:p>
    <w:p>
      <w:pPr>
        <w:keepNext w:val="0"/>
        <w:keepLines w:val="0"/>
        <w:pageBreakBefore w:val="0"/>
        <w:widowControl w:val="0"/>
        <w:kinsoku/>
        <w:overflowPunct/>
        <w:topLinePunct w:val="0"/>
        <w:autoSpaceDE/>
        <w:autoSpaceDN/>
        <w:bidi w:val="0"/>
        <w:adjustRightInd w:val="0"/>
        <w:snapToGrid w:val="0"/>
        <w:spacing w:line="380" w:lineRule="exact"/>
        <w:ind w:firstLine="480" w:firstLineChars="200"/>
        <w:textAlignment w:val="auto"/>
        <w:rPr>
          <w:rFonts w:hint="eastAsia" w:ascii="Times New Roman" w:hAnsi="Times New Roman" w:eastAsia="宋体"/>
          <w:b w:val="0"/>
          <w:bCs w:val="0"/>
          <w:color w:val="000000"/>
          <w:sz w:val="24"/>
          <w:szCs w:val="28"/>
          <w:highlight w:val="none"/>
          <w:lang w:val="en-US" w:eastAsia="zh-CN"/>
        </w:rPr>
      </w:pPr>
      <w:r>
        <w:rPr>
          <w:rFonts w:hint="default" w:ascii="Times New Roman" w:hAnsi="Times New Roman" w:eastAsia="宋体"/>
          <w:b w:val="0"/>
          <w:bCs w:val="0"/>
          <w:color w:val="000000"/>
          <w:sz w:val="24"/>
          <w:szCs w:val="28"/>
          <w:highlight w:val="none"/>
          <w:lang w:val="en-US" w:eastAsia="zh-CN"/>
        </w:rPr>
        <w:t>具体内容详见公司同日在巨潮资讯网上披露的《国家能源集团长源电力股份有限公司董事会战略（ESG）委员会实施细则（第四版）》《国家能源集团长源电力股份有限公司董事会审计与风险委员会实施细则（第四版）》《国家能源集团长源电力股份有限公司董事会薪酬与考核委员会实施细则（第四版）》《国家能源集团长源电力股份有限公司董事会提名委员会实施细则（第四版）》</w:t>
      </w:r>
      <w:r>
        <w:rPr>
          <w:rFonts w:hint="eastAsia" w:ascii="Times New Roman" w:hAnsi="Times New Roman" w:eastAsia="宋体"/>
          <w:b w:val="0"/>
          <w:bCs w:val="0"/>
          <w:color w:val="000000"/>
          <w:sz w:val="24"/>
          <w:szCs w:val="28"/>
          <w:highlight w:val="none"/>
          <w:lang w:val="en-US" w:eastAsia="zh-CN"/>
        </w:rPr>
        <w:t>。</w:t>
      </w:r>
    </w:p>
    <w:p>
      <w:pPr>
        <w:keepNext w:val="0"/>
        <w:keepLines w:val="0"/>
        <w:pageBreakBefore w:val="0"/>
        <w:widowControl w:val="0"/>
        <w:numPr>
          <w:ilvl w:val="0"/>
          <w:numId w:val="0"/>
        </w:numPr>
        <w:kinsoku/>
        <w:overflowPunct/>
        <w:topLinePunct w:val="0"/>
        <w:autoSpaceDE/>
        <w:autoSpaceDN/>
        <w:bidi w:val="0"/>
        <w:adjustRightInd w:val="0"/>
        <w:snapToGrid w:val="0"/>
        <w:spacing w:line="380" w:lineRule="exact"/>
        <w:ind w:firstLine="482" w:firstLineChars="200"/>
        <w:textAlignment w:val="auto"/>
        <w:rPr>
          <w:rFonts w:hint="default" w:ascii="Times New Roman" w:hAnsi="Times New Roman" w:cs="Times New Roman"/>
          <w:b/>
          <w:bCs/>
          <w:color w:val="000000"/>
          <w:sz w:val="24"/>
          <w:szCs w:val="28"/>
          <w:highlight w:val="none"/>
        </w:rPr>
      </w:pPr>
      <w:r>
        <w:rPr>
          <w:rFonts w:hint="eastAsia" w:ascii="Times New Roman" w:hAnsi="Times New Roman" w:cs="Times New Roman"/>
          <w:b/>
          <w:bCs/>
          <w:color w:val="000000"/>
          <w:sz w:val="24"/>
          <w:szCs w:val="28"/>
          <w:highlight w:val="none"/>
          <w:lang w:val="en-US" w:eastAsia="zh-CN"/>
        </w:rPr>
        <w:t xml:space="preserve">8. </w:t>
      </w:r>
      <w:r>
        <w:rPr>
          <w:rFonts w:hint="default" w:ascii="Times New Roman" w:hAnsi="Times New Roman" w:cs="Times New Roman"/>
          <w:b/>
          <w:bCs/>
          <w:color w:val="000000"/>
          <w:sz w:val="24"/>
          <w:szCs w:val="28"/>
          <w:highlight w:val="none"/>
        </w:rPr>
        <w:t>审议通过了《关于公司2025年上半年募集资金存放与使用情况专项报告的议案》</w:t>
      </w:r>
    </w:p>
    <w:p>
      <w:pPr>
        <w:keepNext w:val="0"/>
        <w:keepLines w:val="0"/>
        <w:pageBreakBefore w:val="0"/>
        <w:widowControl w:val="0"/>
        <w:kinsoku/>
        <w:overflowPunct/>
        <w:topLinePunct w:val="0"/>
        <w:autoSpaceDE/>
        <w:autoSpaceDN/>
        <w:bidi w:val="0"/>
        <w:adjustRightInd w:val="0"/>
        <w:snapToGrid w:val="0"/>
        <w:spacing w:line="380" w:lineRule="exact"/>
        <w:ind w:firstLine="480" w:firstLineChars="200"/>
        <w:textAlignment w:val="auto"/>
        <w:rPr>
          <w:rFonts w:hint="eastAsia" w:ascii="Times New Roman" w:hAnsi="Times New Roman" w:eastAsia="宋体" w:cs="Times New Roman"/>
          <w:color w:val="000000"/>
          <w:sz w:val="24"/>
          <w:szCs w:val="28"/>
          <w:highlight w:val="none"/>
          <w:lang w:eastAsia="zh-CN"/>
        </w:rPr>
      </w:pPr>
      <w:r>
        <w:rPr>
          <w:rFonts w:hint="eastAsia" w:ascii="Times New Roman" w:hAnsi="Times New Roman" w:cs="Times New Roman"/>
          <w:color w:val="000000"/>
          <w:sz w:val="24"/>
          <w:szCs w:val="28"/>
          <w:highlight w:val="none"/>
          <w:lang w:eastAsia="zh-CN"/>
        </w:rPr>
        <w:t>会议认为，按照《上市公司募集资金监管规则》和《深圳证券交易所主板上市公司规范运作》等相关规定，报告期内，公司募集资金投资项目未发生变更。公司及时、真实、准确、完整地披露了募集资金的存放及实际使用情况，公司募集资金使用、管理及披露合法合规。</w:t>
      </w:r>
    </w:p>
    <w:p>
      <w:pPr>
        <w:keepNext w:val="0"/>
        <w:keepLines w:val="0"/>
        <w:pageBreakBefore w:val="0"/>
        <w:widowControl w:val="0"/>
        <w:kinsoku/>
        <w:overflowPunct/>
        <w:topLinePunct w:val="0"/>
        <w:autoSpaceDE/>
        <w:autoSpaceDN/>
        <w:bidi w:val="0"/>
        <w:adjustRightInd w:val="0"/>
        <w:snapToGrid w:val="0"/>
        <w:spacing w:line="380" w:lineRule="exact"/>
        <w:ind w:firstLine="480" w:firstLineChars="200"/>
        <w:textAlignment w:val="auto"/>
        <w:rPr>
          <w:rFonts w:hint="eastAsia" w:ascii="Times New Roman" w:hAnsi="Times New Roman" w:eastAsia="宋体" w:cs="Times New Roman"/>
          <w:color w:val="000000"/>
          <w:sz w:val="24"/>
          <w:szCs w:val="28"/>
          <w:highlight w:val="none"/>
          <w:lang w:eastAsia="zh-CN"/>
        </w:rPr>
      </w:pPr>
      <w:r>
        <w:rPr>
          <w:rFonts w:hint="eastAsia" w:ascii="Times New Roman" w:hAnsi="Times New Roman" w:cs="Times New Roman"/>
          <w:color w:val="000000"/>
          <w:sz w:val="24"/>
          <w:szCs w:val="28"/>
          <w:highlight w:val="none"/>
          <w:lang w:val="en-US" w:eastAsia="zh-CN"/>
        </w:rPr>
        <w:t>公司</w:t>
      </w:r>
      <w:r>
        <w:rPr>
          <w:rFonts w:hint="default" w:ascii="Times New Roman" w:hAnsi="Times New Roman" w:cs="Times New Roman"/>
          <w:color w:val="000000"/>
          <w:sz w:val="24"/>
          <w:szCs w:val="28"/>
          <w:highlight w:val="none"/>
        </w:rPr>
        <w:t>独立董事专门会议对该议案进行了审议，并发表了相关意见</w:t>
      </w:r>
      <w:r>
        <w:rPr>
          <w:rFonts w:hint="eastAsia" w:ascii="Times New Roman" w:hAnsi="Times New Roman" w:cs="Times New Roman"/>
          <w:color w:val="000000"/>
          <w:sz w:val="24"/>
          <w:szCs w:val="28"/>
          <w:highlight w:val="none"/>
          <w:lang w:eastAsia="zh-CN"/>
        </w:rPr>
        <w:t>。</w:t>
      </w:r>
    </w:p>
    <w:p>
      <w:pPr>
        <w:keepNext w:val="0"/>
        <w:keepLines w:val="0"/>
        <w:pageBreakBefore w:val="0"/>
        <w:widowControl w:val="0"/>
        <w:kinsoku/>
        <w:overflowPunct/>
        <w:topLinePunct w:val="0"/>
        <w:autoSpaceDE/>
        <w:autoSpaceDN/>
        <w:bidi w:val="0"/>
        <w:adjustRightInd w:val="0"/>
        <w:snapToGrid w:val="0"/>
        <w:spacing w:line="380" w:lineRule="exact"/>
        <w:ind w:firstLine="480" w:firstLineChars="200"/>
        <w:textAlignment w:val="auto"/>
        <w:rPr>
          <w:rFonts w:hint="default" w:ascii="Times New Roman" w:hAnsi="Times New Roman" w:cs="Times New Roman"/>
          <w:color w:val="000000"/>
          <w:sz w:val="24"/>
          <w:szCs w:val="28"/>
          <w:highlight w:val="none"/>
        </w:rPr>
      </w:pPr>
      <w:r>
        <w:rPr>
          <w:rFonts w:hint="default" w:ascii="Times New Roman" w:hAnsi="Times New Roman" w:cs="Times New Roman"/>
          <w:color w:val="000000"/>
          <w:sz w:val="24"/>
          <w:szCs w:val="28"/>
          <w:highlight w:val="none"/>
        </w:rPr>
        <w:t>表决结果：</w:t>
      </w:r>
      <w:r>
        <w:rPr>
          <w:rFonts w:hint="eastAsia" w:ascii="Times New Roman" w:hAnsi="Times New Roman" w:cs="Times New Roman"/>
          <w:color w:val="000000"/>
          <w:sz w:val="24"/>
          <w:szCs w:val="28"/>
          <w:highlight w:val="none"/>
          <w:lang w:val="en-US" w:eastAsia="zh-CN"/>
        </w:rPr>
        <w:t>8</w:t>
      </w:r>
      <w:r>
        <w:rPr>
          <w:rFonts w:hint="default" w:ascii="Times New Roman" w:hAnsi="Times New Roman" w:cs="Times New Roman"/>
          <w:color w:val="000000"/>
          <w:sz w:val="24"/>
          <w:szCs w:val="28"/>
          <w:highlight w:val="none"/>
        </w:rPr>
        <w:t>票同意，0票反对，0票弃权。</w:t>
      </w:r>
    </w:p>
    <w:p>
      <w:pPr>
        <w:keepNext w:val="0"/>
        <w:keepLines w:val="0"/>
        <w:pageBreakBefore w:val="0"/>
        <w:widowControl w:val="0"/>
        <w:kinsoku/>
        <w:overflowPunct/>
        <w:topLinePunct w:val="0"/>
        <w:autoSpaceDE/>
        <w:autoSpaceDN/>
        <w:bidi w:val="0"/>
        <w:adjustRightInd w:val="0"/>
        <w:snapToGrid w:val="0"/>
        <w:spacing w:line="380" w:lineRule="exact"/>
        <w:ind w:firstLine="480" w:firstLineChars="200"/>
        <w:textAlignment w:val="auto"/>
        <w:rPr>
          <w:rFonts w:hint="eastAsia" w:ascii="Times New Roman Regular" w:hAnsi="Times New Roman Regular" w:cs="Times New Roman Regular"/>
          <w:color w:val="000000"/>
          <w:sz w:val="24"/>
          <w:szCs w:val="24"/>
          <w:lang w:eastAsia="zh-CN"/>
        </w:rPr>
      </w:pPr>
      <w:r>
        <w:rPr>
          <w:rFonts w:hint="default" w:ascii="Times New Roman" w:hAnsi="Times New Roman" w:eastAsia="宋体"/>
          <w:b w:val="0"/>
          <w:bCs w:val="0"/>
          <w:color w:val="000000"/>
          <w:sz w:val="24"/>
          <w:szCs w:val="28"/>
          <w:highlight w:val="none"/>
          <w:lang w:val="en-US" w:eastAsia="zh-CN"/>
        </w:rPr>
        <w:t>具体内容详见公司同日在</w:t>
      </w:r>
      <w:r>
        <w:rPr>
          <w:rFonts w:hint="eastAsia" w:ascii="Times New Roman Regular" w:hAnsi="Times New Roman Regular" w:cs="Times New Roman Regular"/>
          <w:color w:val="000000"/>
          <w:sz w:val="24"/>
          <w:szCs w:val="24"/>
        </w:rPr>
        <w:t>《中国证券报》《证券时报》及巨潮资讯网上披露的《关于2025年上半年募集资金存放</w:t>
      </w:r>
      <w:r>
        <w:rPr>
          <w:rFonts w:hint="eastAsia" w:ascii="Times New Roman Regular" w:hAnsi="Times New Roman Regular" w:cs="Times New Roman Regular"/>
          <w:color w:val="000000"/>
          <w:sz w:val="24"/>
          <w:szCs w:val="24"/>
          <w:lang w:eastAsia="zh-CN"/>
        </w:rPr>
        <w:t>、管理</w:t>
      </w:r>
      <w:r>
        <w:rPr>
          <w:rFonts w:hint="eastAsia" w:ascii="Times New Roman Regular" w:hAnsi="Times New Roman Regular" w:cs="Times New Roman Regular"/>
          <w:color w:val="000000"/>
          <w:sz w:val="24"/>
          <w:szCs w:val="24"/>
        </w:rPr>
        <w:t>与</w:t>
      </w:r>
      <w:bookmarkStart w:id="0" w:name="_GoBack"/>
      <w:bookmarkEnd w:id="0"/>
      <w:r>
        <w:rPr>
          <w:rFonts w:hint="eastAsia" w:ascii="Times New Roman Regular" w:hAnsi="Times New Roman Regular" w:cs="Times New Roman Regular"/>
          <w:color w:val="000000"/>
          <w:sz w:val="24"/>
          <w:szCs w:val="24"/>
        </w:rPr>
        <w:t>使用情况的专项报告》（公告编号：202</w:t>
      </w:r>
      <w:r>
        <w:rPr>
          <w:rFonts w:hint="eastAsia" w:ascii="Times New Roman Regular" w:hAnsi="Times New Roman Regular" w:cs="Times New Roman Regular"/>
          <w:color w:val="000000"/>
          <w:sz w:val="24"/>
          <w:szCs w:val="24"/>
          <w:lang w:val="en-US" w:eastAsia="zh-CN"/>
        </w:rPr>
        <w:t>5</w:t>
      </w:r>
      <w:r>
        <w:rPr>
          <w:rFonts w:hint="eastAsia" w:ascii="Times New Roman Regular" w:hAnsi="Times New Roman Regular" w:cs="Times New Roman Regular"/>
          <w:color w:val="000000"/>
          <w:sz w:val="24"/>
          <w:szCs w:val="24"/>
        </w:rPr>
        <w:t>-0</w:t>
      </w:r>
      <w:r>
        <w:rPr>
          <w:rFonts w:hint="eastAsia" w:ascii="Times New Roman Regular" w:hAnsi="Times New Roman Regular" w:cs="Times New Roman Regular"/>
          <w:color w:val="000000"/>
          <w:sz w:val="24"/>
          <w:szCs w:val="24"/>
          <w:lang w:val="en-US" w:eastAsia="zh-CN"/>
        </w:rPr>
        <w:t>59</w:t>
      </w:r>
      <w:r>
        <w:rPr>
          <w:rFonts w:hint="eastAsia" w:ascii="Times New Roman Regular" w:hAnsi="Times New Roman Regular" w:cs="Times New Roman Regular"/>
          <w:color w:val="000000"/>
          <w:sz w:val="24"/>
          <w:szCs w:val="24"/>
        </w:rPr>
        <w:t>）</w:t>
      </w:r>
      <w:r>
        <w:rPr>
          <w:rFonts w:hint="eastAsia" w:ascii="Times New Roman Regular" w:hAnsi="Times New Roman Regular" w:cs="Times New Roman Regular"/>
          <w:color w:val="000000"/>
          <w:sz w:val="24"/>
          <w:szCs w:val="24"/>
          <w:lang w:eastAsia="zh-CN"/>
        </w:rPr>
        <w:t>。</w:t>
      </w:r>
    </w:p>
    <w:p>
      <w:pPr>
        <w:keepNext w:val="0"/>
        <w:keepLines w:val="0"/>
        <w:pageBreakBefore w:val="0"/>
        <w:widowControl w:val="0"/>
        <w:numPr>
          <w:ilvl w:val="0"/>
          <w:numId w:val="0"/>
        </w:numPr>
        <w:kinsoku/>
        <w:overflowPunct/>
        <w:topLinePunct w:val="0"/>
        <w:autoSpaceDE/>
        <w:autoSpaceDN/>
        <w:bidi w:val="0"/>
        <w:adjustRightInd w:val="0"/>
        <w:snapToGrid w:val="0"/>
        <w:spacing w:line="380" w:lineRule="exact"/>
        <w:ind w:firstLine="482" w:firstLineChars="200"/>
        <w:textAlignment w:val="auto"/>
        <w:rPr>
          <w:rFonts w:hint="default" w:ascii="Times New Roman" w:hAnsi="Times New Roman" w:cs="Times New Roman"/>
          <w:b/>
          <w:bCs/>
          <w:color w:val="000000"/>
          <w:sz w:val="24"/>
          <w:szCs w:val="28"/>
          <w:highlight w:val="none"/>
        </w:rPr>
      </w:pPr>
      <w:r>
        <w:rPr>
          <w:rFonts w:hint="eastAsia" w:ascii="Times New Roman" w:hAnsi="Times New Roman" w:cs="Times New Roman"/>
          <w:b/>
          <w:bCs/>
          <w:color w:val="000000"/>
          <w:sz w:val="24"/>
          <w:szCs w:val="28"/>
          <w:highlight w:val="none"/>
          <w:lang w:val="en-US" w:eastAsia="zh-CN"/>
        </w:rPr>
        <w:t xml:space="preserve">9. </w:t>
      </w:r>
      <w:r>
        <w:rPr>
          <w:rFonts w:hint="default" w:ascii="Times New Roman" w:hAnsi="Times New Roman" w:cs="Times New Roman"/>
          <w:b/>
          <w:bCs/>
          <w:color w:val="000000"/>
          <w:sz w:val="24"/>
          <w:szCs w:val="28"/>
          <w:highlight w:val="none"/>
        </w:rPr>
        <w:t>审议通过了《关于公司与国家能源集团财务有限公司关联存贷款等金融业务风险评估报告的议案》</w:t>
      </w:r>
    </w:p>
    <w:p>
      <w:pPr>
        <w:keepNext w:val="0"/>
        <w:keepLines w:val="0"/>
        <w:pageBreakBefore w:val="0"/>
        <w:widowControl w:val="0"/>
        <w:kinsoku/>
        <w:overflowPunct/>
        <w:topLinePunct w:val="0"/>
        <w:autoSpaceDE/>
        <w:autoSpaceDN/>
        <w:bidi w:val="0"/>
        <w:adjustRightInd w:val="0"/>
        <w:snapToGrid w:val="0"/>
        <w:spacing w:line="380" w:lineRule="exact"/>
        <w:ind w:firstLine="480" w:firstLineChars="200"/>
        <w:textAlignment w:val="auto"/>
        <w:rPr>
          <w:rFonts w:hint="eastAsia" w:ascii="Times New Roman" w:hAnsi="Times New Roman" w:eastAsia="宋体" w:cs="Times New Roman"/>
          <w:color w:val="000000"/>
          <w:sz w:val="24"/>
          <w:szCs w:val="28"/>
          <w:highlight w:val="none"/>
          <w:lang w:eastAsia="zh-CN"/>
        </w:rPr>
      </w:pPr>
      <w:r>
        <w:rPr>
          <w:rFonts w:hint="eastAsia" w:ascii="Times New Roman" w:hAnsi="Times New Roman" w:cs="Times New Roman"/>
          <w:color w:val="000000"/>
          <w:sz w:val="24"/>
          <w:szCs w:val="28"/>
          <w:highlight w:val="none"/>
          <w:lang w:eastAsia="zh-CN"/>
        </w:rPr>
        <w:t>会议认为，国家能源集团财务有限公司（以下简称财务公司）严格按《企业集团财务公司管理办法》规定经营，根据公司对风险管理的了解和评价，目前未发现财务公司的风险管理存在重大缺陷，公司与财务公司之间发生的关联存贷款等金融业务目前不存在风险问题。</w:t>
      </w:r>
    </w:p>
    <w:p>
      <w:pPr>
        <w:keepNext w:val="0"/>
        <w:keepLines w:val="0"/>
        <w:pageBreakBefore w:val="0"/>
        <w:widowControl w:val="0"/>
        <w:kinsoku/>
        <w:overflowPunct/>
        <w:topLinePunct w:val="0"/>
        <w:autoSpaceDE/>
        <w:autoSpaceDN/>
        <w:bidi w:val="0"/>
        <w:adjustRightInd w:val="0"/>
        <w:snapToGrid w:val="0"/>
        <w:spacing w:line="380" w:lineRule="exact"/>
        <w:ind w:firstLine="480" w:firstLineChars="200"/>
        <w:textAlignment w:val="auto"/>
        <w:rPr>
          <w:rFonts w:hint="eastAsia" w:ascii="Times New Roman" w:hAnsi="Times New Roman" w:eastAsia="宋体" w:cs="Times New Roman"/>
          <w:color w:val="000000"/>
          <w:sz w:val="24"/>
          <w:szCs w:val="28"/>
          <w:highlight w:val="none"/>
          <w:lang w:eastAsia="zh-CN"/>
        </w:rPr>
      </w:pPr>
      <w:r>
        <w:rPr>
          <w:rFonts w:hint="default" w:ascii="Times New Roman" w:hAnsi="Times New Roman" w:cs="Times New Roman"/>
          <w:color w:val="000000"/>
          <w:sz w:val="24"/>
          <w:szCs w:val="28"/>
          <w:highlight w:val="none"/>
        </w:rPr>
        <w:t>根据《深圳证券交易所股票上市规则》</w:t>
      </w:r>
      <w:r>
        <w:rPr>
          <w:rFonts w:hint="eastAsia" w:ascii="Times New Roman Regular" w:hAnsi="Times New Roman Regular" w:cs="Times New Roman Regular"/>
          <w:color w:val="000000"/>
          <w:sz w:val="24"/>
          <w:szCs w:val="24"/>
          <w:lang w:val="en-US" w:eastAsia="zh-CN"/>
        </w:rPr>
        <w:t>《深圳证券交易所上市公司自律监管指引第1号——主板上市公司规范运作》</w:t>
      </w:r>
      <w:r>
        <w:rPr>
          <w:rFonts w:hint="default" w:ascii="Times New Roman" w:hAnsi="Times New Roman" w:cs="Times New Roman"/>
          <w:color w:val="000000"/>
          <w:sz w:val="24"/>
          <w:szCs w:val="28"/>
          <w:highlight w:val="none"/>
        </w:rPr>
        <w:t>有关规定，该议案属关联交易事项，独立董事专门会议对该议案进行了审议，并发表了相关意见。公司4名关联董事王冬、郑峰、刘晋冀、王娟回避了表决，4名非关联董事对该议案进行了表决</w:t>
      </w:r>
      <w:r>
        <w:rPr>
          <w:rFonts w:hint="eastAsia" w:ascii="Times New Roman" w:hAnsi="Times New Roman" w:cs="Times New Roman"/>
          <w:color w:val="000000"/>
          <w:sz w:val="24"/>
          <w:szCs w:val="28"/>
          <w:highlight w:val="none"/>
          <w:lang w:eastAsia="zh-CN"/>
        </w:rPr>
        <w:t>。</w:t>
      </w:r>
    </w:p>
    <w:p>
      <w:pPr>
        <w:keepNext w:val="0"/>
        <w:keepLines w:val="0"/>
        <w:pageBreakBefore w:val="0"/>
        <w:widowControl w:val="0"/>
        <w:kinsoku/>
        <w:overflowPunct/>
        <w:topLinePunct w:val="0"/>
        <w:autoSpaceDE/>
        <w:autoSpaceDN/>
        <w:bidi w:val="0"/>
        <w:adjustRightInd w:val="0"/>
        <w:snapToGrid w:val="0"/>
        <w:spacing w:line="380" w:lineRule="exact"/>
        <w:ind w:firstLine="480" w:firstLineChars="200"/>
        <w:textAlignment w:val="auto"/>
        <w:rPr>
          <w:rFonts w:hint="default" w:ascii="Times New Roman" w:hAnsi="Times New Roman" w:cs="Times New Roman"/>
          <w:color w:val="000000"/>
          <w:sz w:val="24"/>
          <w:szCs w:val="28"/>
          <w:highlight w:val="none"/>
        </w:rPr>
      </w:pPr>
      <w:r>
        <w:rPr>
          <w:rFonts w:hint="default" w:ascii="Times New Roman" w:hAnsi="Times New Roman" w:cs="Times New Roman"/>
          <w:color w:val="000000"/>
          <w:sz w:val="24"/>
          <w:szCs w:val="28"/>
          <w:highlight w:val="none"/>
        </w:rPr>
        <w:t>表决结果：</w:t>
      </w:r>
      <w:r>
        <w:rPr>
          <w:rFonts w:hint="eastAsia" w:ascii="Times New Roman" w:hAnsi="Times New Roman" w:cs="Times New Roman"/>
          <w:color w:val="000000"/>
          <w:sz w:val="24"/>
          <w:szCs w:val="28"/>
          <w:highlight w:val="none"/>
          <w:lang w:val="en-US" w:eastAsia="zh-CN"/>
        </w:rPr>
        <w:t>4</w:t>
      </w:r>
      <w:r>
        <w:rPr>
          <w:rFonts w:hint="default" w:ascii="Times New Roman" w:hAnsi="Times New Roman" w:cs="Times New Roman"/>
          <w:color w:val="000000"/>
          <w:sz w:val="24"/>
          <w:szCs w:val="28"/>
          <w:highlight w:val="none"/>
        </w:rPr>
        <w:t>票同意，0票反对，0票弃权。</w:t>
      </w:r>
    </w:p>
    <w:p>
      <w:pPr>
        <w:keepNext w:val="0"/>
        <w:keepLines w:val="0"/>
        <w:pageBreakBefore w:val="0"/>
        <w:widowControl w:val="0"/>
        <w:kinsoku/>
        <w:overflowPunct/>
        <w:topLinePunct w:val="0"/>
        <w:autoSpaceDE/>
        <w:autoSpaceDN/>
        <w:bidi w:val="0"/>
        <w:adjustRightInd w:val="0"/>
        <w:snapToGrid w:val="0"/>
        <w:spacing w:line="380" w:lineRule="exact"/>
        <w:ind w:firstLine="480" w:firstLineChars="200"/>
        <w:textAlignment w:val="auto"/>
        <w:rPr>
          <w:rFonts w:hint="eastAsia" w:ascii="Times New Roman Regular" w:hAnsi="Times New Roman Regular" w:cs="Times New Roman Regular"/>
          <w:color w:val="000000"/>
          <w:sz w:val="24"/>
          <w:szCs w:val="24"/>
          <w:lang w:eastAsia="zh-CN"/>
        </w:rPr>
      </w:pPr>
      <w:r>
        <w:rPr>
          <w:rFonts w:hint="default" w:ascii="Times New Roman" w:hAnsi="Times New Roman" w:eastAsia="宋体"/>
          <w:b w:val="0"/>
          <w:bCs w:val="0"/>
          <w:color w:val="000000"/>
          <w:sz w:val="24"/>
          <w:szCs w:val="28"/>
          <w:highlight w:val="none"/>
          <w:lang w:val="en-US" w:eastAsia="zh-CN"/>
        </w:rPr>
        <w:t>具体内容详见公司同日在</w:t>
      </w:r>
      <w:r>
        <w:rPr>
          <w:rFonts w:hint="eastAsia" w:ascii="Times New Roman Regular" w:hAnsi="Times New Roman Regular" w:cs="Times New Roman Regular"/>
          <w:color w:val="000000"/>
          <w:sz w:val="24"/>
          <w:szCs w:val="24"/>
        </w:rPr>
        <w:t>巨潮资讯网上披露的《公司与国家能源集团财务有限公司关联存贷款等金融业务风险评估报告》</w:t>
      </w:r>
      <w:r>
        <w:rPr>
          <w:rFonts w:hint="eastAsia" w:ascii="Times New Roman Regular" w:hAnsi="Times New Roman Regular" w:cs="Times New Roman Regular"/>
          <w:color w:val="000000"/>
          <w:sz w:val="24"/>
          <w:szCs w:val="24"/>
          <w:lang w:eastAsia="zh-CN"/>
        </w:rPr>
        <w:t>。</w:t>
      </w:r>
    </w:p>
    <w:p>
      <w:pPr>
        <w:keepNext w:val="0"/>
        <w:keepLines w:val="0"/>
        <w:pageBreakBefore w:val="0"/>
        <w:widowControl w:val="0"/>
        <w:numPr>
          <w:ilvl w:val="0"/>
          <w:numId w:val="0"/>
        </w:numPr>
        <w:kinsoku/>
        <w:overflowPunct/>
        <w:topLinePunct w:val="0"/>
        <w:autoSpaceDE/>
        <w:autoSpaceDN/>
        <w:bidi w:val="0"/>
        <w:adjustRightInd w:val="0"/>
        <w:snapToGrid w:val="0"/>
        <w:spacing w:line="380" w:lineRule="exact"/>
        <w:ind w:firstLine="482" w:firstLineChars="200"/>
        <w:textAlignment w:val="auto"/>
        <w:rPr>
          <w:rFonts w:hint="default" w:ascii="Times New Roman" w:hAnsi="Times New Roman" w:cs="Times New Roman"/>
          <w:b/>
          <w:bCs/>
          <w:color w:val="000000"/>
          <w:sz w:val="24"/>
          <w:szCs w:val="28"/>
          <w:highlight w:val="none"/>
        </w:rPr>
      </w:pPr>
      <w:r>
        <w:rPr>
          <w:rFonts w:hint="eastAsia" w:ascii="Times New Roman" w:hAnsi="Times New Roman" w:cs="Times New Roman"/>
          <w:b/>
          <w:bCs/>
          <w:color w:val="000000"/>
          <w:sz w:val="24"/>
          <w:szCs w:val="28"/>
          <w:highlight w:val="none"/>
          <w:lang w:val="en-US" w:eastAsia="zh-CN"/>
        </w:rPr>
        <w:t xml:space="preserve">10. </w:t>
      </w:r>
      <w:r>
        <w:rPr>
          <w:rFonts w:hint="default" w:ascii="Times New Roman" w:hAnsi="Times New Roman" w:cs="Times New Roman"/>
          <w:b/>
          <w:bCs/>
          <w:color w:val="000000"/>
          <w:sz w:val="24"/>
          <w:szCs w:val="28"/>
          <w:highlight w:val="none"/>
        </w:rPr>
        <w:t>审议通过了《关于公司经理层2025年度经营业绩责任书的议案》</w:t>
      </w:r>
    </w:p>
    <w:p>
      <w:pPr>
        <w:keepNext w:val="0"/>
        <w:keepLines w:val="0"/>
        <w:pageBreakBefore w:val="0"/>
        <w:widowControl w:val="0"/>
        <w:kinsoku/>
        <w:overflowPunct/>
        <w:topLinePunct w:val="0"/>
        <w:autoSpaceDE/>
        <w:autoSpaceDN/>
        <w:bidi w:val="0"/>
        <w:adjustRightInd w:val="0"/>
        <w:snapToGrid w:val="0"/>
        <w:spacing w:line="380" w:lineRule="exact"/>
        <w:ind w:firstLine="480" w:firstLineChars="200"/>
        <w:textAlignment w:val="auto"/>
        <w:rPr>
          <w:rFonts w:hint="eastAsia" w:ascii="Times New Roman" w:hAnsi="Times New Roman" w:cs="Times New Roman"/>
          <w:color w:val="000000"/>
          <w:sz w:val="24"/>
          <w:szCs w:val="28"/>
          <w:highlight w:val="none"/>
          <w:lang w:eastAsia="zh-CN"/>
        </w:rPr>
      </w:pPr>
      <w:r>
        <w:rPr>
          <w:rFonts w:hint="eastAsia" w:ascii="Times New Roman" w:hAnsi="Times New Roman" w:cs="Times New Roman"/>
          <w:color w:val="000000"/>
          <w:sz w:val="24"/>
          <w:szCs w:val="28"/>
          <w:highlight w:val="none"/>
          <w:lang w:eastAsia="zh-CN"/>
        </w:rPr>
        <w:t>会议同意制定的公司经理层2025年度经营业绩责任书，授权公司董事长代表董事会与经理层成员签订责任书。</w:t>
      </w:r>
    </w:p>
    <w:p>
      <w:pPr>
        <w:keepNext w:val="0"/>
        <w:keepLines w:val="0"/>
        <w:pageBreakBefore w:val="0"/>
        <w:widowControl w:val="0"/>
        <w:kinsoku/>
        <w:overflowPunct/>
        <w:topLinePunct w:val="0"/>
        <w:autoSpaceDE/>
        <w:autoSpaceDN/>
        <w:bidi w:val="0"/>
        <w:adjustRightInd w:val="0"/>
        <w:snapToGrid w:val="0"/>
        <w:spacing w:line="380" w:lineRule="exact"/>
        <w:ind w:firstLine="480" w:firstLineChars="200"/>
        <w:textAlignment w:val="auto"/>
        <w:rPr>
          <w:rFonts w:hint="eastAsia" w:ascii="Times New Roman" w:hAnsi="Times New Roman" w:eastAsia="宋体" w:cs="Times New Roman"/>
          <w:color w:val="000000"/>
          <w:sz w:val="24"/>
          <w:szCs w:val="28"/>
          <w:highlight w:val="none"/>
          <w:lang w:eastAsia="zh-CN"/>
        </w:rPr>
      </w:pPr>
      <w:r>
        <w:rPr>
          <w:rFonts w:hint="eastAsia" w:ascii="Times New Roman" w:hAnsi="Times New Roman" w:cs="Times New Roman"/>
          <w:color w:val="000000"/>
          <w:sz w:val="24"/>
          <w:szCs w:val="28"/>
          <w:highlight w:val="none"/>
          <w:lang w:eastAsia="zh-CN"/>
        </w:rPr>
        <w:t>公司董事会薪酬与考核委员会对该议案进行了审议，并发表了相关意见。</w:t>
      </w:r>
    </w:p>
    <w:p>
      <w:pPr>
        <w:keepNext w:val="0"/>
        <w:keepLines w:val="0"/>
        <w:pageBreakBefore w:val="0"/>
        <w:widowControl w:val="0"/>
        <w:kinsoku/>
        <w:overflowPunct/>
        <w:topLinePunct w:val="0"/>
        <w:autoSpaceDE/>
        <w:autoSpaceDN/>
        <w:bidi w:val="0"/>
        <w:adjustRightInd w:val="0"/>
        <w:snapToGrid w:val="0"/>
        <w:spacing w:line="380" w:lineRule="exact"/>
        <w:ind w:firstLine="480" w:firstLineChars="200"/>
        <w:textAlignment w:val="auto"/>
        <w:rPr>
          <w:rFonts w:hint="default" w:ascii="Times New Roman" w:hAnsi="Times New Roman" w:cs="Times New Roman"/>
          <w:color w:val="000000"/>
          <w:sz w:val="24"/>
          <w:szCs w:val="28"/>
          <w:highlight w:val="none"/>
        </w:rPr>
      </w:pPr>
      <w:r>
        <w:rPr>
          <w:rFonts w:hint="default" w:ascii="Times New Roman" w:hAnsi="Times New Roman" w:cs="Times New Roman"/>
          <w:color w:val="000000"/>
          <w:sz w:val="24"/>
          <w:szCs w:val="28"/>
          <w:highlight w:val="none"/>
        </w:rPr>
        <w:t>表决结果：</w:t>
      </w:r>
      <w:r>
        <w:rPr>
          <w:rFonts w:hint="eastAsia" w:ascii="Times New Roman" w:hAnsi="Times New Roman" w:cs="Times New Roman"/>
          <w:color w:val="000000"/>
          <w:sz w:val="24"/>
          <w:szCs w:val="28"/>
          <w:highlight w:val="none"/>
          <w:lang w:val="en-US" w:eastAsia="zh-CN"/>
        </w:rPr>
        <w:t>8</w:t>
      </w:r>
      <w:r>
        <w:rPr>
          <w:rFonts w:hint="default" w:ascii="Times New Roman" w:hAnsi="Times New Roman" w:cs="Times New Roman"/>
          <w:color w:val="000000"/>
          <w:sz w:val="24"/>
          <w:szCs w:val="28"/>
          <w:highlight w:val="none"/>
        </w:rPr>
        <w:t>票同意，0票反对，0票弃权。</w:t>
      </w:r>
    </w:p>
    <w:p>
      <w:pPr>
        <w:keepNext w:val="0"/>
        <w:keepLines w:val="0"/>
        <w:pageBreakBefore w:val="0"/>
        <w:widowControl w:val="0"/>
        <w:numPr>
          <w:ilvl w:val="0"/>
          <w:numId w:val="0"/>
        </w:numPr>
        <w:kinsoku/>
        <w:overflowPunct/>
        <w:topLinePunct w:val="0"/>
        <w:autoSpaceDE/>
        <w:autoSpaceDN/>
        <w:bidi w:val="0"/>
        <w:adjustRightInd w:val="0"/>
        <w:snapToGrid w:val="0"/>
        <w:spacing w:line="380" w:lineRule="exact"/>
        <w:ind w:firstLine="482" w:firstLineChars="200"/>
        <w:textAlignment w:val="auto"/>
        <w:rPr>
          <w:rFonts w:hint="default" w:ascii="Times New Roman" w:hAnsi="Times New Roman" w:cs="Times New Roman"/>
          <w:b/>
          <w:bCs/>
          <w:color w:val="000000"/>
          <w:sz w:val="24"/>
          <w:szCs w:val="28"/>
          <w:highlight w:val="none"/>
        </w:rPr>
      </w:pPr>
      <w:r>
        <w:rPr>
          <w:rFonts w:hint="eastAsia" w:ascii="Times New Roman" w:hAnsi="Times New Roman" w:cs="Times New Roman"/>
          <w:b/>
          <w:bCs/>
          <w:color w:val="000000"/>
          <w:sz w:val="24"/>
          <w:szCs w:val="28"/>
          <w:highlight w:val="none"/>
          <w:lang w:val="en-US" w:eastAsia="zh-CN"/>
        </w:rPr>
        <w:t xml:space="preserve">11. </w:t>
      </w:r>
      <w:r>
        <w:rPr>
          <w:rFonts w:hint="default" w:ascii="Times New Roman" w:hAnsi="Times New Roman" w:cs="Times New Roman"/>
          <w:b/>
          <w:bCs/>
          <w:color w:val="000000"/>
          <w:sz w:val="24"/>
          <w:szCs w:val="28"/>
          <w:highlight w:val="none"/>
        </w:rPr>
        <w:t>审议通过了《关于国能长源谷城县冷集镇230MW农光互补光伏发电项目装机容量调整的议案》</w:t>
      </w:r>
    </w:p>
    <w:p>
      <w:pPr>
        <w:keepNext w:val="0"/>
        <w:keepLines w:val="0"/>
        <w:pageBreakBefore w:val="0"/>
        <w:widowControl w:val="0"/>
        <w:kinsoku/>
        <w:overflowPunct/>
        <w:topLinePunct w:val="0"/>
        <w:autoSpaceDE/>
        <w:autoSpaceDN/>
        <w:bidi w:val="0"/>
        <w:adjustRightInd w:val="0"/>
        <w:snapToGrid w:val="0"/>
        <w:spacing w:line="380" w:lineRule="exact"/>
        <w:ind w:firstLine="480" w:firstLineChars="200"/>
        <w:textAlignment w:val="auto"/>
        <w:rPr>
          <w:rFonts w:hint="eastAsia" w:ascii="Times New Roman" w:hAnsi="Times New Roman" w:cs="Times New Roman"/>
          <w:color w:val="000000"/>
          <w:sz w:val="24"/>
          <w:szCs w:val="28"/>
          <w:highlight w:val="none"/>
          <w:lang w:eastAsia="zh-CN"/>
        </w:rPr>
      </w:pPr>
      <w:r>
        <w:rPr>
          <w:rFonts w:hint="eastAsia" w:ascii="Times New Roman" w:hAnsi="Times New Roman" w:cs="Times New Roman"/>
          <w:color w:val="000000"/>
          <w:sz w:val="24"/>
          <w:szCs w:val="28"/>
          <w:highlight w:val="none"/>
          <w:lang w:eastAsia="zh-CN"/>
        </w:rPr>
        <w:t>会议同意公司调整冷集光伏项目的建设容量及投资金额，项目规划装机容量由230MW调整为171MW，项目投资金额由110,242.63万元调整为74,520.30万元。</w:t>
      </w:r>
    </w:p>
    <w:p>
      <w:pPr>
        <w:keepNext w:val="0"/>
        <w:keepLines w:val="0"/>
        <w:pageBreakBefore w:val="0"/>
        <w:widowControl w:val="0"/>
        <w:kinsoku/>
        <w:overflowPunct/>
        <w:topLinePunct w:val="0"/>
        <w:autoSpaceDE/>
        <w:autoSpaceDN/>
        <w:bidi w:val="0"/>
        <w:adjustRightInd w:val="0"/>
        <w:snapToGrid w:val="0"/>
        <w:spacing w:line="380" w:lineRule="exact"/>
        <w:ind w:firstLine="480" w:firstLineChars="200"/>
        <w:textAlignment w:val="auto"/>
        <w:rPr>
          <w:rFonts w:hint="eastAsia" w:ascii="Times New Roman" w:hAnsi="Times New Roman" w:eastAsia="宋体" w:cs="Times New Roman"/>
          <w:color w:val="000000"/>
          <w:sz w:val="24"/>
          <w:szCs w:val="28"/>
          <w:highlight w:val="none"/>
          <w:lang w:eastAsia="zh-CN"/>
        </w:rPr>
      </w:pPr>
      <w:r>
        <w:rPr>
          <w:rFonts w:hint="default" w:ascii="Times New Roman" w:hAnsi="Times New Roman" w:cs="Times New Roman"/>
          <w:color w:val="000000"/>
          <w:sz w:val="24"/>
          <w:szCs w:val="28"/>
          <w:highlight w:val="none"/>
        </w:rPr>
        <w:t>公司董事会战略（ESG）委员会对该议案进行了审议，并发表了相关意见</w:t>
      </w:r>
      <w:r>
        <w:rPr>
          <w:rFonts w:hint="eastAsia" w:ascii="Times New Roman" w:hAnsi="Times New Roman" w:cs="Times New Roman"/>
          <w:color w:val="000000"/>
          <w:sz w:val="24"/>
          <w:szCs w:val="28"/>
          <w:highlight w:val="none"/>
          <w:lang w:eastAsia="zh-CN"/>
        </w:rPr>
        <w:t>。</w:t>
      </w:r>
    </w:p>
    <w:p>
      <w:pPr>
        <w:keepNext w:val="0"/>
        <w:keepLines w:val="0"/>
        <w:pageBreakBefore w:val="0"/>
        <w:widowControl w:val="0"/>
        <w:kinsoku/>
        <w:overflowPunct/>
        <w:topLinePunct w:val="0"/>
        <w:autoSpaceDE/>
        <w:autoSpaceDN/>
        <w:bidi w:val="0"/>
        <w:adjustRightInd w:val="0"/>
        <w:snapToGrid w:val="0"/>
        <w:spacing w:line="380" w:lineRule="exact"/>
        <w:ind w:firstLine="480" w:firstLineChars="200"/>
        <w:textAlignment w:val="auto"/>
        <w:rPr>
          <w:rFonts w:hint="default"/>
        </w:rPr>
      </w:pPr>
      <w:r>
        <w:rPr>
          <w:rFonts w:hint="default" w:ascii="Times New Roman" w:hAnsi="Times New Roman" w:cs="Times New Roman"/>
          <w:color w:val="000000"/>
          <w:sz w:val="24"/>
          <w:szCs w:val="28"/>
          <w:highlight w:val="none"/>
        </w:rPr>
        <w:t>表决结果：</w:t>
      </w:r>
      <w:r>
        <w:rPr>
          <w:rFonts w:hint="eastAsia" w:ascii="Times New Roman" w:hAnsi="Times New Roman" w:cs="Times New Roman"/>
          <w:color w:val="000000"/>
          <w:sz w:val="24"/>
          <w:szCs w:val="28"/>
          <w:highlight w:val="none"/>
          <w:lang w:val="en-US" w:eastAsia="zh-CN"/>
        </w:rPr>
        <w:t>8</w:t>
      </w:r>
      <w:r>
        <w:rPr>
          <w:rFonts w:hint="default" w:ascii="Times New Roman" w:hAnsi="Times New Roman" w:cs="Times New Roman"/>
          <w:color w:val="000000"/>
          <w:sz w:val="24"/>
          <w:szCs w:val="28"/>
          <w:highlight w:val="none"/>
        </w:rPr>
        <w:t>票同意，0票反对，0票弃权。</w:t>
      </w:r>
    </w:p>
    <w:p>
      <w:pPr>
        <w:keepNext w:val="0"/>
        <w:keepLines w:val="0"/>
        <w:pageBreakBefore w:val="0"/>
        <w:widowControl w:val="0"/>
        <w:kinsoku/>
        <w:overflowPunct/>
        <w:topLinePunct w:val="0"/>
        <w:autoSpaceDE/>
        <w:autoSpaceDN/>
        <w:bidi w:val="0"/>
        <w:adjustRightInd w:val="0"/>
        <w:snapToGrid w:val="0"/>
        <w:spacing w:line="380" w:lineRule="exact"/>
        <w:ind w:firstLine="480" w:firstLineChars="200"/>
        <w:textAlignment w:val="auto"/>
        <w:rPr>
          <w:rFonts w:hint="eastAsia" w:ascii="Times New Roman Regular" w:hAnsi="Times New Roman Regular" w:cs="Times New Roman Regular"/>
          <w:color w:val="000000"/>
          <w:sz w:val="24"/>
          <w:szCs w:val="24"/>
          <w:lang w:eastAsia="zh-CN"/>
        </w:rPr>
      </w:pPr>
      <w:r>
        <w:rPr>
          <w:rFonts w:hint="default" w:ascii="Times New Roman" w:hAnsi="Times New Roman" w:eastAsia="宋体"/>
          <w:b w:val="0"/>
          <w:bCs w:val="0"/>
          <w:color w:val="000000"/>
          <w:sz w:val="24"/>
          <w:szCs w:val="28"/>
          <w:highlight w:val="none"/>
          <w:lang w:val="en-US" w:eastAsia="zh-CN"/>
        </w:rPr>
        <w:t>具体内容详见公司同日在</w:t>
      </w:r>
      <w:r>
        <w:rPr>
          <w:rFonts w:hint="eastAsia" w:ascii="Times New Roman Regular" w:hAnsi="Times New Roman Regular" w:cs="Times New Roman Regular"/>
          <w:color w:val="000000"/>
          <w:sz w:val="24"/>
          <w:szCs w:val="24"/>
        </w:rPr>
        <w:t>《中国证券报》《证券时报》及巨潮资讯网上披露的《关于国能长源谷城县冷集镇230MW农光互补光伏发电项目进展情况的公告》（公告编号：202</w:t>
      </w:r>
      <w:r>
        <w:rPr>
          <w:rFonts w:hint="eastAsia" w:ascii="Times New Roman Regular" w:hAnsi="Times New Roman Regular" w:cs="Times New Roman Regular"/>
          <w:color w:val="000000"/>
          <w:sz w:val="24"/>
          <w:szCs w:val="24"/>
          <w:lang w:val="en-US" w:eastAsia="zh-CN"/>
        </w:rPr>
        <w:t>5</w:t>
      </w:r>
      <w:r>
        <w:rPr>
          <w:rFonts w:hint="eastAsia" w:ascii="Times New Roman Regular" w:hAnsi="Times New Roman Regular" w:cs="Times New Roman Regular"/>
          <w:color w:val="000000"/>
          <w:sz w:val="24"/>
          <w:szCs w:val="24"/>
        </w:rPr>
        <w:t>-0</w:t>
      </w:r>
      <w:r>
        <w:rPr>
          <w:rFonts w:hint="eastAsia" w:ascii="Times New Roman Regular" w:hAnsi="Times New Roman Regular" w:cs="Times New Roman Regular"/>
          <w:color w:val="000000"/>
          <w:sz w:val="24"/>
          <w:szCs w:val="24"/>
          <w:lang w:val="en-US" w:eastAsia="zh-CN"/>
        </w:rPr>
        <w:t>60</w:t>
      </w:r>
      <w:r>
        <w:rPr>
          <w:rFonts w:hint="eastAsia" w:ascii="Times New Roman Regular" w:hAnsi="Times New Roman Regular" w:cs="Times New Roman Regular"/>
          <w:color w:val="000000"/>
          <w:sz w:val="24"/>
          <w:szCs w:val="24"/>
        </w:rPr>
        <w:t>）</w:t>
      </w:r>
      <w:r>
        <w:rPr>
          <w:rFonts w:hint="eastAsia" w:ascii="Times New Roman Regular" w:hAnsi="Times New Roman Regular" w:cs="Times New Roman Regular"/>
          <w:color w:val="000000"/>
          <w:sz w:val="24"/>
          <w:szCs w:val="24"/>
          <w:lang w:eastAsia="zh-CN"/>
        </w:rPr>
        <w:t>。</w:t>
      </w:r>
    </w:p>
    <w:p>
      <w:pPr>
        <w:keepNext w:val="0"/>
        <w:keepLines w:val="0"/>
        <w:pageBreakBefore w:val="0"/>
        <w:widowControl w:val="0"/>
        <w:numPr>
          <w:ilvl w:val="0"/>
          <w:numId w:val="0"/>
        </w:numPr>
        <w:kinsoku/>
        <w:overflowPunct/>
        <w:topLinePunct w:val="0"/>
        <w:autoSpaceDE/>
        <w:autoSpaceDN/>
        <w:bidi w:val="0"/>
        <w:adjustRightInd w:val="0"/>
        <w:snapToGrid w:val="0"/>
        <w:spacing w:line="380" w:lineRule="exact"/>
        <w:ind w:firstLine="482" w:firstLineChars="200"/>
        <w:textAlignment w:val="auto"/>
        <w:rPr>
          <w:rFonts w:hint="default" w:ascii="Times New Roman" w:hAnsi="Times New Roman" w:cs="Times New Roman"/>
          <w:b/>
          <w:bCs/>
          <w:color w:val="000000"/>
          <w:sz w:val="24"/>
          <w:szCs w:val="28"/>
          <w:highlight w:val="none"/>
        </w:rPr>
      </w:pPr>
      <w:r>
        <w:rPr>
          <w:rFonts w:hint="eastAsia" w:ascii="Times New Roman" w:hAnsi="Times New Roman" w:cs="Times New Roman"/>
          <w:b/>
          <w:bCs/>
          <w:color w:val="000000"/>
          <w:sz w:val="24"/>
          <w:szCs w:val="28"/>
          <w:highlight w:val="none"/>
          <w:lang w:val="en-US" w:eastAsia="zh-CN"/>
        </w:rPr>
        <w:t xml:space="preserve">12. </w:t>
      </w:r>
      <w:r>
        <w:rPr>
          <w:rFonts w:hint="default" w:ascii="Times New Roman" w:hAnsi="Times New Roman" w:cs="Times New Roman"/>
          <w:b/>
          <w:bCs/>
          <w:color w:val="000000"/>
          <w:sz w:val="24"/>
          <w:szCs w:val="28"/>
          <w:highlight w:val="none"/>
        </w:rPr>
        <w:t>审议通过了《关于国能长源潜江浩口200MW渔光互补光伏发电项目装机容量调整的议案》</w:t>
      </w:r>
    </w:p>
    <w:p>
      <w:pPr>
        <w:keepNext w:val="0"/>
        <w:keepLines w:val="0"/>
        <w:pageBreakBefore w:val="0"/>
        <w:widowControl w:val="0"/>
        <w:kinsoku/>
        <w:overflowPunct/>
        <w:topLinePunct w:val="0"/>
        <w:autoSpaceDE/>
        <w:autoSpaceDN/>
        <w:bidi w:val="0"/>
        <w:adjustRightInd w:val="0"/>
        <w:snapToGrid w:val="0"/>
        <w:spacing w:line="380" w:lineRule="exact"/>
        <w:ind w:firstLine="480" w:firstLineChars="200"/>
        <w:textAlignment w:val="auto"/>
        <w:rPr>
          <w:rFonts w:hint="eastAsia" w:ascii="Times New Roman" w:hAnsi="Times New Roman" w:cs="Times New Roman"/>
          <w:color w:val="000000"/>
          <w:sz w:val="24"/>
          <w:szCs w:val="28"/>
          <w:highlight w:val="none"/>
          <w:lang w:eastAsia="zh-CN"/>
        </w:rPr>
      </w:pPr>
      <w:r>
        <w:rPr>
          <w:rFonts w:hint="eastAsia" w:ascii="Times New Roman" w:hAnsi="Times New Roman" w:cs="Times New Roman"/>
          <w:color w:val="000000"/>
          <w:sz w:val="24"/>
          <w:szCs w:val="28"/>
          <w:highlight w:val="none"/>
          <w:lang w:eastAsia="zh-CN"/>
        </w:rPr>
        <w:t>会议同意公司调整潜江浩口光伏项目的建设容量及投资金额，项目规划装机容量由200MW调整为170MW，项目投资金额由105,164.64万元调整为71,433.12万元。</w:t>
      </w:r>
    </w:p>
    <w:p>
      <w:pPr>
        <w:keepNext w:val="0"/>
        <w:keepLines w:val="0"/>
        <w:pageBreakBefore w:val="0"/>
        <w:widowControl w:val="0"/>
        <w:kinsoku/>
        <w:overflowPunct/>
        <w:topLinePunct w:val="0"/>
        <w:autoSpaceDE/>
        <w:autoSpaceDN/>
        <w:bidi w:val="0"/>
        <w:adjustRightInd w:val="0"/>
        <w:snapToGrid w:val="0"/>
        <w:spacing w:line="380" w:lineRule="exact"/>
        <w:ind w:firstLine="480" w:firstLineChars="200"/>
        <w:textAlignment w:val="auto"/>
        <w:rPr>
          <w:rFonts w:hint="eastAsia" w:ascii="Times New Roman" w:hAnsi="Times New Roman" w:eastAsia="宋体" w:cs="Times New Roman"/>
          <w:color w:val="000000"/>
          <w:sz w:val="24"/>
          <w:szCs w:val="28"/>
          <w:highlight w:val="none"/>
          <w:lang w:eastAsia="zh-CN"/>
        </w:rPr>
      </w:pPr>
      <w:r>
        <w:rPr>
          <w:rFonts w:hint="default" w:ascii="Times New Roman" w:hAnsi="Times New Roman" w:cs="Times New Roman"/>
          <w:color w:val="000000"/>
          <w:sz w:val="24"/>
          <w:szCs w:val="28"/>
          <w:highlight w:val="none"/>
        </w:rPr>
        <w:t>公司董事会战略（ESG）委员会对该议案进行了审议，并发表了相关意见</w:t>
      </w:r>
      <w:r>
        <w:rPr>
          <w:rFonts w:hint="eastAsia" w:ascii="Times New Roman" w:hAnsi="Times New Roman" w:cs="Times New Roman"/>
          <w:color w:val="000000"/>
          <w:sz w:val="24"/>
          <w:szCs w:val="28"/>
          <w:highlight w:val="none"/>
          <w:lang w:eastAsia="zh-CN"/>
        </w:rPr>
        <w:t>。</w:t>
      </w:r>
    </w:p>
    <w:p>
      <w:pPr>
        <w:keepNext w:val="0"/>
        <w:keepLines w:val="0"/>
        <w:pageBreakBefore w:val="0"/>
        <w:widowControl w:val="0"/>
        <w:kinsoku/>
        <w:overflowPunct/>
        <w:topLinePunct w:val="0"/>
        <w:autoSpaceDE/>
        <w:autoSpaceDN/>
        <w:bidi w:val="0"/>
        <w:adjustRightInd w:val="0"/>
        <w:snapToGrid w:val="0"/>
        <w:spacing w:line="380" w:lineRule="exact"/>
        <w:ind w:firstLine="480" w:firstLineChars="200"/>
        <w:textAlignment w:val="auto"/>
        <w:rPr>
          <w:rFonts w:hint="default"/>
        </w:rPr>
      </w:pPr>
      <w:r>
        <w:rPr>
          <w:rFonts w:hint="default" w:ascii="Times New Roman" w:hAnsi="Times New Roman" w:cs="Times New Roman"/>
          <w:color w:val="000000"/>
          <w:sz w:val="24"/>
          <w:szCs w:val="28"/>
          <w:highlight w:val="none"/>
        </w:rPr>
        <w:t>表决结果：</w:t>
      </w:r>
      <w:r>
        <w:rPr>
          <w:rFonts w:hint="eastAsia" w:ascii="Times New Roman" w:hAnsi="Times New Roman" w:cs="Times New Roman"/>
          <w:color w:val="000000"/>
          <w:sz w:val="24"/>
          <w:szCs w:val="28"/>
          <w:highlight w:val="none"/>
          <w:lang w:val="en-US" w:eastAsia="zh-CN"/>
        </w:rPr>
        <w:t>8</w:t>
      </w:r>
      <w:r>
        <w:rPr>
          <w:rFonts w:hint="default" w:ascii="Times New Roman" w:hAnsi="Times New Roman" w:cs="Times New Roman"/>
          <w:color w:val="000000"/>
          <w:sz w:val="24"/>
          <w:szCs w:val="28"/>
          <w:highlight w:val="none"/>
        </w:rPr>
        <w:t>票同意，0票反对，0票弃权。</w:t>
      </w:r>
    </w:p>
    <w:p>
      <w:pPr>
        <w:keepNext w:val="0"/>
        <w:keepLines w:val="0"/>
        <w:pageBreakBefore w:val="0"/>
        <w:widowControl w:val="0"/>
        <w:kinsoku/>
        <w:overflowPunct/>
        <w:topLinePunct w:val="0"/>
        <w:autoSpaceDE/>
        <w:autoSpaceDN/>
        <w:bidi w:val="0"/>
        <w:adjustRightInd w:val="0"/>
        <w:snapToGrid w:val="0"/>
        <w:spacing w:line="380" w:lineRule="exact"/>
        <w:ind w:firstLine="480" w:firstLineChars="200"/>
        <w:textAlignment w:val="auto"/>
        <w:rPr>
          <w:rFonts w:hint="eastAsia" w:ascii="Times New Roman" w:hAnsi="Times New Roman" w:eastAsia="宋体"/>
          <w:b/>
          <w:color w:val="000000"/>
          <w:sz w:val="24"/>
          <w:szCs w:val="28"/>
          <w:highlight w:val="none"/>
          <w:lang w:eastAsia="zh-CN"/>
        </w:rPr>
      </w:pPr>
      <w:r>
        <w:rPr>
          <w:rFonts w:hint="default" w:ascii="Times New Roman" w:hAnsi="Times New Roman" w:eastAsia="宋体"/>
          <w:b w:val="0"/>
          <w:bCs w:val="0"/>
          <w:color w:val="000000"/>
          <w:sz w:val="24"/>
          <w:szCs w:val="28"/>
          <w:highlight w:val="none"/>
          <w:lang w:val="en-US" w:eastAsia="zh-CN"/>
        </w:rPr>
        <w:t>具体内容详见公司同日在</w:t>
      </w:r>
      <w:r>
        <w:rPr>
          <w:rFonts w:hint="eastAsia" w:ascii="Times New Roman Regular" w:hAnsi="Times New Roman Regular" w:cs="Times New Roman Regular"/>
          <w:color w:val="000000"/>
          <w:sz w:val="24"/>
          <w:szCs w:val="24"/>
        </w:rPr>
        <w:t>《中国证券报》《证券时报》及巨潮资讯网上披露的《关于国能长源潜江浩口200MW渔光互补光伏发电项目进展情况的公告》（公告编号：202</w:t>
      </w:r>
      <w:r>
        <w:rPr>
          <w:rFonts w:hint="eastAsia" w:ascii="Times New Roman Regular" w:hAnsi="Times New Roman Regular" w:cs="Times New Roman Regular"/>
          <w:color w:val="000000"/>
          <w:sz w:val="24"/>
          <w:szCs w:val="24"/>
          <w:lang w:val="en-US" w:eastAsia="zh-CN"/>
        </w:rPr>
        <w:t>5</w:t>
      </w:r>
      <w:r>
        <w:rPr>
          <w:rFonts w:hint="eastAsia" w:ascii="Times New Roman Regular" w:hAnsi="Times New Roman Regular" w:cs="Times New Roman Regular"/>
          <w:color w:val="000000"/>
          <w:sz w:val="24"/>
          <w:szCs w:val="24"/>
        </w:rPr>
        <w:t>-0</w:t>
      </w:r>
      <w:r>
        <w:rPr>
          <w:rFonts w:hint="eastAsia" w:ascii="Times New Roman Regular" w:hAnsi="Times New Roman Regular" w:cs="Times New Roman Regular"/>
          <w:color w:val="000000"/>
          <w:sz w:val="24"/>
          <w:szCs w:val="24"/>
          <w:lang w:val="en-US" w:eastAsia="zh-CN"/>
        </w:rPr>
        <w:t>61</w:t>
      </w:r>
      <w:r>
        <w:rPr>
          <w:rFonts w:hint="eastAsia" w:ascii="Times New Roman Regular" w:hAnsi="Times New Roman Regular" w:cs="Times New Roman Regular"/>
          <w:color w:val="000000"/>
          <w:sz w:val="24"/>
          <w:szCs w:val="24"/>
        </w:rPr>
        <w:t>）</w:t>
      </w:r>
      <w:r>
        <w:rPr>
          <w:rFonts w:hint="eastAsia" w:ascii="Times New Roman Regular" w:hAnsi="Times New Roman Regular" w:cs="Times New Roman Regular"/>
          <w:color w:val="000000"/>
          <w:sz w:val="24"/>
          <w:szCs w:val="24"/>
          <w:lang w:eastAsia="zh-CN"/>
        </w:rPr>
        <w:t>。</w:t>
      </w:r>
    </w:p>
    <w:p>
      <w:pPr>
        <w:keepNext w:val="0"/>
        <w:keepLines w:val="0"/>
        <w:pageBreakBefore w:val="0"/>
        <w:widowControl w:val="0"/>
        <w:kinsoku/>
        <w:overflowPunct/>
        <w:topLinePunct w:val="0"/>
        <w:autoSpaceDE/>
        <w:autoSpaceDN/>
        <w:bidi w:val="0"/>
        <w:adjustRightInd w:val="0"/>
        <w:snapToGrid w:val="0"/>
        <w:spacing w:line="380" w:lineRule="exact"/>
        <w:ind w:firstLine="482" w:firstLineChars="200"/>
        <w:textAlignment w:val="auto"/>
        <w:rPr>
          <w:rFonts w:ascii="Times New Roman" w:hAnsi="Times New Roman"/>
          <w:b/>
          <w:color w:val="000000"/>
          <w:sz w:val="24"/>
          <w:szCs w:val="28"/>
          <w:highlight w:val="none"/>
        </w:rPr>
      </w:pPr>
      <w:r>
        <w:rPr>
          <w:rFonts w:ascii="Times New Roman" w:hAnsi="Times New Roman"/>
          <w:b/>
          <w:color w:val="000000"/>
          <w:sz w:val="24"/>
          <w:szCs w:val="28"/>
          <w:highlight w:val="none"/>
        </w:rPr>
        <w:t>三、备查文件</w:t>
      </w:r>
    </w:p>
    <w:p>
      <w:pPr>
        <w:keepNext w:val="0"/>
        <w:keepLines w:val="0"/>
        <w:pageBreakBefore w:val="0"/>
        <w:widowControl w:val="0"/>
        <w:kinsoku/>
        <w:overflowPunct/>
        <w:topLinePunct w:val="0"/>
        <w:autoSpaceDE/>
        <w:autoSpaceDN/>
        <w:bidi w:val="0"/>
        <w:adjustRightInd w:val="0"/>
        <w:snapToGrid w:val="0"/>
        <w:spacing w:line="380" w:lineRule="exact"/>
        <w:ind w:firstLine="480" w:firstLineChars="200"/>
        <w:textAlignment w:val="auto"/>
        <w:rPr>
          <w:rFonts w:hint="eastAsia" w:ascii="Times New Roman" w:hAnsi="Times New Roman" w:eastAsia="宋体"/>
          <w:color w:val="000000"/>
          <w:sz w:val="24"/>
          <w:szCs w:val="28"/>
          <w:highlight w:val="none"/>
          <w:lang w:eastAsia="zh-CN"/>
        </w:rPr>
      </w:pPr>
      <w:r>
        <w:rPr>
          <w:rFonts w:ascii="Times New Roman" w:hAnsi="Times New Roman"/>
          <w:color w:val="000000"/>
          <w:sz w:val="24"/>
          <w:szCs w:val="28"/>
          <w:highlight w:val="none"/>
        </w:rPr>
        <w:t>公司第</w:t>
      </w:r>
      <w:r>
        <w:rPr>
          <w:rFonts w:hint="eastAsia" w:ascii="Times New Roman" w:hAnsi="Times New Roman"/>
          <w:color w:val="000000"/>
          <w:sz w:val="24"/>
          <w:szCs w:val="28"/>
          <w:highlight w:val="none"/>
          <w:lang w:val="en-US" w:eastAsia="zh-CN"/>
        </w:rPr>
        <w:t>十</w:t>
      </w:r>
      <w:r>
        <w:rPr>
          <w:rFonts w:ascii="Times New Roman" w:hAnsi="Times New Roman"/>
          <w:color w:val="000000"/>
          <w:sz w:val="24"/>
          <w:szCs w:val="28"/>
          <w:highlight w:val="none"/>
        </w:rPr>
        <w:t>届董事会第</w:t>
      </w:r>
      <w:r>
        <w:rPr>
          <w:rFonts w:hint="eastAsia" w:ascii="Times New Roman" w:hAnsi="Times New Roman"/>
          <w:color w:val="000000"/>
          <w:sz w:val="24"/>
          <w:szCs w:val="28"/>
          <w:highlight w:val="none"/>
          <w:lang w:val="en-US" w:eastAsia="zh-CN"/>
        </w:rPr>
        <w:t>三十五</w:t>
      </w:r>
      <w:r>
        <w:rPr>
          <w:rFonts w:ascii="Times New Roman" w:hAnsi="Times New Roman"/>
          <w:color w:val="000000"/>
          <w:sz w:val="24"/>
          <w:szCs w:val="28"/>
          <w:highlight w:val="none"/>
        </w:rPr>
        <w:t>次会议决议</w:t>
      </w:r>
      <w:r>
        <w:rPr>
          <w:rFonts w:hint="eastAsia" w:ascii="Times New Roman" w:hAnsi="Times New Roman"/>
          <w:color w:val="000000"/>
          <w:sz w:val="24"/>
          <w:szCs w:val="28"/>
          <w:highlight w:val="none"/>
          <w:lang w:eastAsia="zh-CN"/>
        </w:rPr>
        <w:t>。</w:t>
      </w:r>
    </w:p>
    <w:p>
      <w:pPr>
        <w:keepNext w:val="0"/>
        <w:keepLines w:val="0"/>
        <w:pageBreakBefore w:val="0"/>
        <w:widowControl w:val="0"/>
        <w:kinsoku/>
        <w:overflowPunct/>
        <w:topLinePunct w:val="0"/>
        <w:autoSpaceDE/>
        <w:autoSpaceDN/>
        <w:bidi w:val="0"/>
        <w:adjustRightInd w:val="0"/>
        <w:snapToGrid w:val="0"/>
        <w:spacing w:line="380" w:lineRule="exact"/>
        <w:ind w:firstLine="480" w:firstLineChars="200"/>
        <w:textAlignment w:val="auto"/>
        <w:rPr>
          <w:rFonts w:ascii="Times New Roman" w:hAnsi="Times New Roman"/>
          <w:color w:val="000000"/>
          <w:sz w:val="24"/>
          <w:szCs w:val="28"/>
          <w:highlight w:val="none"/>
        </w:rPr>
      </w:pPr>
    </w:p>
    <w:p>
      <w:pPr>
        <w:keepNext w:val="0"/>
        <w:keepLines w:val="0"/>
        <w:pageBreakBefore w:val="0"/>
        <w:widowControl w:val="0"/>
        <w:kinsoku/>
        <w:overflowPunct/>
        <w:topLinePunct w:val="0"/>
        <w:autoSpaceDE/>
        <w:autoSpaceDN/>
        <w:bidi w:val="0"/>
        <w:adjustRightInd w:val="0"/>
        <w:snapToGrid w:val="0"/>
        <w:spacing w:line="380" w:lineRule="exact"/>
        <w:ind w:firstLine="480" w:firstLineChars="200"/>
        <w:textAlignment w:val="auto"/>
        <w:rPr>
          <w:rFonts w:hint="eastAsia" w:ascii="Times New Roman" w:hAnsi="Times New Roman"/>
          <w:color w:val="000000"/>
          <w:sz w:val="24"/>
          <w:szCs w:val="28"/>
          <w:highlight w:val="none"/>
          <w:lang w:eastAsia="zh-CN"/>
        </w:rPr>
      </w:pPr>
      <w:r>
        <w:rPr>
          <w:rFonts w:ascii="Times New Roman" w:hAnsi="Times New Roman"/>
          <w:color w:val="000000"/>
          <w:sz w:val="24"/>
          <w:szCs w:val="28"/>
          <w:highlight w:val="none"/>
        </w:rPr>
        <w:t>特此公告</w:t>
      </w:r>
      <w:r>
        <w:rPr>
          <w:rFonts w:hint="eastAsia" w:ascii="Times New Roman" w:hAnsi="Times New Roman"/>
          <w:color w:val="000000"/>
          <w:sz w:val="24"/>
          <w:szCs w:val="28"/>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80" w:lineRule="exact"/>
        <w:jc w:val="right"/>
        <w:textAlignment w:val="auto"/>
        <w:rPr>
          <w:rFonts w:ascii="Times New Roman" w:hAnsi="Times New Roman"/>
          <w:color w:val="000000"/>
          <w:sz w:val="24"/>
          <w:szCs w:val="28"/>
          <w:highlight w:val="none"/>
        </w:rPr>
      </w:pPr>
    </w:p>
    <w:p>
      <w:pPr>
        <w:keepNext w:val="0"/>
        <w:keepLines w:val="0"/>
        <w:pageBreakBefore w:val="0"/>
        <w:widowControl w:val="0"/>
        <w:kinsoku/>
        <w:wordWrap/>
        <w:overflowPunct/>
        <w:topLinePunct w:val="0"/>
        <w:autoSpaceDE/>
        <w:autoSpaceDN/>
        <w:bidi w:val="0"/>
        <w:adjustRightInd w:val="0"/>
        <w:snapToGrid w:val="0"/>
        <w:spacing w:line="380" w:lineRule="exact"/>
        <w:jc w:val="right"/>
        <w:textAlignment w:val="auto"/>
        <w:rPr>
          <w:rFonts w:ascii="Times New Roman" w:hAnsi="Times New Roman"/>
          <w:color w:val="000000"/>
          <w:sz w:val="24"/>
          <w:szCs w:val="28"/>
          <w:highlight w:val="none"/>
        </w:rPr>
      </w:pPr>
    </w:p>
    <w:p>
      <w:pPr>
        <w:keepNext w:val="0"/>
        <w:keepLines w:val="0"/>
        <w:pageBreakBefore w:val="0"/>
        <w:widowControl w:val="0"/>
        <w:kinsoku/>
        <w:wordWrap/>
        <w:overflowPunct/>
        <w:topLinePunct w:val="0"/>
        <w:autoSpaceDE/>
        <w:autoSpaceDN/>
        <w:bidi w:val="0"/>
        <w:adjustRightInd w:val="0"/>
        <w:snapToGrid w:val="0"/>
        <w:spacing w:line="380" w:lineRule="exact"/>
        <w:jc w:val="right"/>
        <w:textAlignment w:val="auto"/>
        <w:rPr>
          <w:rFonts w:hint="default" w:ascii="Times New Roman" w:hAnsi="Times New Roman" w:eastAsia="宋体"/>
          <w:color w:val="000000"/>
          <w:sz w:val="24"/>
          <w:szCs w:val="28"/>
          <w:highlight w:val="none"/>
          <w:lang w:val="en-US" w:eastAsia="zh-CN"/>
        </w:rPr>
      </w:pPr>
      <w:r>
        <w:rPr>
          <w:rFonts w:ascii="Times New Roman" w:hAnsi="Times New Roman"/>
          <w:color w:val="000000"/>
          <w:sz w:val="24"/>
          <w:szCs w:val="28"/>
          <w:highlight w:val="none"/>
        </w:rPr>
        <w:t>国</w:t>
      </w:r>
      <w:r>
        <w:rPr>
          <w:rFonts w:hint="eastAsia" w:ascii="Times New Roman" w:hAnsi="Times New Roman"/>
          <w:color w:val="000000"/>
          <w:sz w:val="24"/>
          <w:szCs w:val="28"/>
          <w:highlight w:val="none"/>
          <w:lang w:val="en-US" w:eastAsia="zh-CN"/>
        </w:rPr>
        <w:t>家能源集团</w:t>
      </w:r>
      <w:r>
        <w:rPr>
          <w:rFonts w:ascii="Times New Roman" w:hAnsi="Times New Roman"/>
          <w:color w:val="000000"/>
          <w:sz w:val="24"/>
          <w:szCs w:val="28"/>
          <w:highlight w:val="none"/>
        </w:rPr>
        <w:t>长源电力股份有限公司董事会</w:t>
      </w:r>
    </w:p>
    <w:p>
      <w:pPr>
        <w:keepNext w:val="0"/>
        <w:keepLines w:val="0"/>
        <w:pageBreakBefore w:val="0"/>
        <w:widowControl w:val="0"/>
        <w:kinsoku/>
        <w:wordWrap w:val="0"/>
        <w:overflowPunct/>
        <w:topLinePunct w:val="0"/>
        <w:autoSpaceDE/>
        <w:autoSpaceDN/>
        <w:bidi w:val="0"/>
        <w:spacing w:line="380" w:lineRule="exact"/>
        <w:ind w:firstLine="420"/>
        <w:jc w:val="center"/>
        <w:textAlignment w:val="auto"/>
        <w:rPr>
          <w:rFonts w:ascii="Times New Roman" w:hAnsi="Times New Roman"/>
          <w:color w:val="000000"/>
          <w:sz w:val="24"/>
          <w:szCs w:val="28"/>
          <w:highlight w:val="none"/>
        </w:rPr>
      </w:pPr>
      <w:r>
        <w:rPr>
          <w:rFonts w:hint="eastAsia" w:ascii="Times New Roman" w:hAnsi="Times New Roman"/>
          <w:color w:val="000000"/>
          <w:sz w:val="24"/>
          <w:szCs w:val="28"/>
          <w:highlight w:val="none"/>
          <w:lang w:val="en-US" w:eastAsia="zh-CN"/>
        </w:rPr>
        <w:t xml:space="preserve">                            </w:t>
      </w:r>
      <w:r>
        <w:rPr>
          <w:rFonts w:ascii="Times New Roman" w:hAnsi="Times New Roman"/>
          <w:color w:val="000000"/>
          <w:sz w:val="24"/>
          <w:szCs w:val="28"/>
          <w:highlight w:val="none"/>
        </w:rPr>
        <w:t>20</w:t>
      </w:r>
      <w:r>
        <w:rPr>
          <w:rFonts w:hint="eastAsia" w:ascii="Times New Roman" w:hAnsi="Times New Roman"/>
          <w:color w:val="000000"/>
          <w:sz w:val="24"/>
          <w:szCs w:val="28"/>
          <w:highlight w:val="none"/>
          <w:lang w:val="en-US" w:eastAsia="zh-CN"/>
        </w:rPr>
        <w:t>25</w:t>
      </w:r>
      <w:r>
        <w:rPr>
          <w:rFonts w:ascii="Times New Roman" w:hAnsi="Times New Roman"/>
          <w:color w:val="000000"/>
          <w:sz w:val="24"/>
          <w:szCs w:val="28"/>
          <w:highlight w:val="none"/>
        </w:rPr>
        <w:t>年</w:t>
      </w:r>
      <w:r>
        <w:rPr>
          <w:rFonts w:hint="eastAsia" w:ascii="Times New Roman" w:hAnsi="Times New Roman"/>
          <w:color w:val="000000"/>
          <w:sz w:val="24"/>
          <w:szCs w:val="28"/>
          <w:highlight w:val="none"/>
          <w:lang w:val="en-US" w:eastAsia="zh-CN"/>
        </w:rPr>
        <w:t>8</w:t>
      </w:r>
      <w:r>
        <w:rPr>
          <w:rFonts w:ascii="Times New Roman" w:hAnsi="Times New Roman"/>
          <w:color w:val="000000"/>
          <w:sz w:val="24"/>
          <w:szCs w:val="28"/>
          <w:highlight w:val="none"/>
        </w:rPr>
        <w:t>月</w:t>
      </w:r>
      <w:r>
        <w:rPr>
          <w:rFonts w:hint="eastAsia" w:ascii="Times New Roman" w:hAnsi="Times New Roman"/>
          <w:color w:val="000000"/>
          <w:sz w:val="24"/>
          <w:szCs w:val="28"/>
          <w:highlight w:val="none"/>
          <w:lang w:val="en-US" w:eastAsia="zh-CN"/>
        </w:rPr>
        <w:t>23</w:t>
      </w:r>
      <w:r>
        <w:rPr>
          <w:rFonts w:ascii="Times New Roman" w:hAnsi="Times New Roman"/>
          <w:color w:val="000000"/>
          <w:sz w:val="24"/>
          <w:szCs w:val="28"/>
          <w:highlight w:val="none"/>
        </w:rPr>
        <w:t>日</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textAlignment w:val="auto"/>
        <w:rPr>
          <w:rFonts w:hint="eastAsia" w:ascii="Times New Roman" w:hAnsi="Times New Roman" w:eastAsia="宋体" w:cs="Times New Roman"/>
          <w:b w:val="0"/>
          <w:bCs w:val="0"/>
          <w:color w:val="000000"/>
          <w:sz w:val="24"/>
          <w:szCs w:val="28"/>
          <w:highlight w:val="none"/>
          <w:lang w:val="en-US" w:eastAsia="zh-CN"/>
        </w:rPr>
      </w:pPr>
    </w:p>
    <w:sectPr>
      <w:footerReference r:id="rId3" w:type="default"/>
      <w:pgSz w:w="11906" w:h="16838"/>
      <w:pgMar w:top="1134" w:right="1701" w:bottom="851" w:left="1701" w:header="851" w:footer="45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panose1 w:val="02000000000000000000"/>
    <w:charset w:val="86"/>
    <w:family w:val="auto"/>
    <w:pitch w:val="default"/>
    <w:sig w:usb0="A00002BF" w:usb1="184F6CFA" w:usb2="00000012" w:usb3="00000000" w:csb0="00040001" w:csb1="00000000"/>
  </w:font>
  <w:font w:name="Times New Roman Regular">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r>
      <w:fldChar w:fldCharType="begin"/>
    </w:r>
    <w:r>
      <w:rPr>
        <w:rStyle w:val="17"/>
      </w:rPr>
      <w:instrText xml:space="preserve">PAGE  </w:instrText>
    </w:r>
    <w:r>
      <w:fldChar w:fldCharType="separate"/>
    </w:r>
    <w:r>
      <w:rPr>
        <w:rStyle w:val="17"/>
      </w:rPr>
      <w:t>2</w:t>
    </w:r>
    <w:r>
      <w:fldChar w:fldCharType="end"/>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9530D0"/>
    <w:multiLevelType w:val="singleLevel"/>
    <w:tmpl w:val="E99530D0"/>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5FB"/>
    <w:rsid w:val="00000F42"/>
    <w:rsid w:val="00001920"/>
    <w:rsid w:val="00002998"/>
    <w:rsid w:val="00002C12"/>
    <w:rsid w:val="00003CC0"/>
    <w:rsid w:val="00006505"/>
    <w:rsid w:val="0000676D"/>
    <w:rsid w:val="0001077E"/>
    <w:rsid w:val="00013678"/>
    <w:rsid w:val="000139DA"/>
    <w:rsid w:val="0001653C"/>
    <w:rsid w:val="00017FAC"/>
    <w:rsid w:val="000208A3"/>
    <w:rsid w:val="00024984"/>
    <w:rsid w:val="000252A6"/>
    <w:rsid w:val="00025C74"/>
    <w:rsid w:val="000275C3"/>
    <w:rsid w:val="00027A1B"/>
    <w:rsid w:val="00030360"/>
    <w:rsid w:val="000310A3"/>
    <w:rsid w:val="00032B14"/>
    <w:rsid w:val="00034FCC"/>
    <w:rsid w:val="0003590A"/>
    <w:rsid w:val="00035D17"/>
    <w:rsid w:val="000376A0"/>
    <w:rsid w:val="0004115E"/>
    <w:rsid w:val="00041C47"/>
    <w:rsid w:val="00041EC5"/>
    <w:rsid w:val="00042608"/>
    <w:rsid w:val="00043551"/>
    <w:rsid w:val="00045377"/>
    <w:rsid w:val="0004668C"/>
    <w:rsid w:val="000470AB"/>
    <w:rsid w:val="00047553"/>
    <w:rsid w:val="000514AA"/>
    <w:rsid w:val="00052E9C"/>
    <w:rsid w:val="00054279"/>
    <w:rsid w:val="000542F8"/>
    <w:rsid w:val="0006117E"/>
    <w:rsid w:val="00061DC6"/>
    <w:rsid w:val="00062E1B"/>
    <w:rsid w:val="0006396D"/>
    <w:rsid w:val="0006438C"/>
    <w:rsid w:val="00066CA4"/>
    <w:rsid w:val="00070B00"/>
    <w:rsid w:val="00072A20"/>
    <w:rsid w:val="00076CDD"/>
    <w:rsid w:val="00077152"/>
    <w:rsid w:val="00081859"/>
    <w:rsid w:val="00083F39"/>
    <w:rsid w:val="00090406"/>
    <w:rsid w:val="000936EB"/>
    <w:rsid w:val="0009402D"/>
    <w:rsid w:val="0009432B"/>
    <w:rsid w:val="00095326"/>
    <w:rsid w:val="000954B0"/>
    <w:rsid w:val="000968B6"/>
    <w:rsid w:val="000A519A"/>
    <w:rsid w:val="000A51F2"/>
    <w:rsid w:val="000A7375"/>
    <w:rsid w:val="000B0CD2"/>
    <w:rsid w:val="000B127B"/>
    <w:rsid w:val="000B1950"/>
    <w:rsid w:val="000B3B4B"/>
    <w:rsid w:val="000B4B68"/>
    <w:rsid w:val="000B54BD"/>
    <w:rsid w:val="000B5E78"/>
    <w:rsid w:val="000B6ABE"/>
    <w:rsid w:val="000B77F7"/>
    <w:rsid w:val="000C155E"/>
    <w:rsid w:val="000C36CF"/>
    <w:rsid w:val="000C4C6D"/>
    <w:rsid w:val="000C7705"/>
    <w:rsid w:val="000D0337"/>
    <w:rsid w:val="000D0862"/>
    <w:rsid w:val="000D0911"/>
    <w:rsid w:val="000D169C"/>
    <w:rsid w:val="000D16B4"/>
    <w:rsid w:val="000D22CF"/>
    <w:rsid w:val="000D266D"/>
    <w:rsid w:val="000D30D2"/>
    <w:rsid w:val="000D6B57"/>
    <w:rsid w:val="000E0326"/>
    <w:rsid w:val="000E239C"/>
    <w:rsid w:val="000E2453"/>
    <w:rsid w:val="000E3617"/>
    <w:rsid w:val="000E39A5"/>
    <w:rsid w:val="000E53D4"/>
    <w:rsid w:val="000E5EA8"/>
    <w:rsid w:val="000E660A"/>
    <w:rsid w:val="000E6780"/>
    <w:rsid w:val="000E7227"/>
    <w:rsid w:val="000E7C3C"/>
    <w:rsid w:val="000F011A"/>
    <w:rsid w:val="000F1BD0"/>
    <w:rsid w:val="000F2257"/>
    <w:rsid w:val="000F65FB"/>
    <w:rsid w:val="000F7AE7"/>
    <w:rsid w:val="00103F39"/>
    <w:rsid w:val="00104E5D"/>
    <w:rsid w:val="00105DAC"/>
    <w:rsid w:val="00106F55"/>
    <w:rsid w:val="00107678"/>
    <w:rsid w:val="001104D5"/>
    <w:rsid w:val="0011193F"/>
    <w:rsid w:val="001134CF"/>
    <w:rsid w:val="0011402A"/>
    <w:rsid w:val="00114AC4"/>
    <w:rsid w:val="00115E46"/>
    <w:rsid w:val="00116DA9"/>
    <w:rsid w:val="00117D95"/>
    <w:rsid w:val="0012072A"/>
    <w:rsid w:val="00121C2A"/>
    <w:rsid w:val="00124291"/>
    <w:rsid w:val="00127709"/>
    <w:rsid w:val="0013187F"/>
    <w:rsid w:val="00134626"/>
    <w:rsid w:val="001348FE"/>
    <w:rsid w:val="00137A17"/>
    <w:rsid w:val="00140CB8"/>
    <w:rsid w:val="001444D6"/>
    <w:rsid w:val="00144A2C"/>
    <w:rsid w:val="0014512D"/>
    <w:rsid w:val="00153E58"/>
    <w:rsid w:val="001553B3"/>
    <w:rsid w:val="001572DC"/>
    <w:rsid w:val="00161ADE"/>
    <w:rsid w:val="00162CE8"/>
    <w:rsid w:val="00164335"/>
    <w:rsid w:val="001720D1"/>
    <w:rsid w:val="0017219C"/>
    <w:rsid w:val="00172AE9"/>
    <w:rsid w:val="00172C93"/>
    <w:rsid w:val="001756E5"/>
    <w:rsid w:val="00176544"/>
    <w:rsid w:val="0017672A"/>
    <w:rsid w:val="001775BC"/>
    <w:rsid w:val="0018059C"/>
    <w:rsid w:val="00182B7C"/>
    <w:rsid w:val="00182E6B"/>
    <w:rsid w:val="001841DD"/>
    <w:rsid w:val="001847E3"/>
    <w:rsid w:val="0018484D"/>
    <w:rsid w:val="0018558F"/>
    <w:rsid w:val="00185B26"/>
    <w:rsid w:val="00186A86"/>
    <w:rsid w:val="001870CB"/>
    <w:rsid w:val="00187BB5"/>
    <w:rsid w:val="00190153"/>
    <w:rsid w:val="00191174"/>
    <w:rsid w:val="00191B3F"/>
    <w:rsid w:val="00191CAA"/>
    <w:rsid w:val="00191F4A"/>
    <w:rsid w:val="0019352A"/>
    <w:rsid w:val="001954C5"/>
    <w:rsid w:val="00195669"/>
    <w:rsid w:val="0019567F"/>
    <w:rsid w:val="00195E7E"/>
    <w:rsid w:val="00196BC6"/>
    <w:rsid w:val="0019747B"/>
    <w:rsid w:val="001A005E"/>
    <w:rsid w:val="001A4DC8"/>
    <w:rsid w:val="001A52D7"/>
    <w:rsid w:val="001A6012"/>
    <w:rsid w:val="001A6511"/>
    <w:rsid w:val="001B1E82"/>
    <w:rsid w:val="001B2237"/>
    <w:rsid w:val="001B431D"/>
    <w:rsid w:val="001B5298"/>
    <w:rsid w:val="001B6066"/>
    <w:rsid w:val="001B6EF2"/>
    <w:rsid w:val="001B7BCA"/>
    <w:rsid w:val="001B7BF6"/>
    <w:rsid w:val="001B7E8B"/>
    <w:rsid w:val="001C0B30"/>
    <w:rsid w:val="001C107E"/>
    <w:rsid w:val="001C13D2"/>
    <w:rsid w:val="001C1F3F"/>
    <w:rsid w:val="001C2359"/>
    <w:rsid w:val="001C3254"/>
    <w:rsid w:val="001C3E62"/>
    <w:rsid w:val="001C60F3"/>
    <w:rsid w:val="001C6E4D"/>
    <w:rsid w:val="001C6FC1"/>
    <w:rsid w:val="001C70F3"/>
    <w:rsid w:val="001D1C2F"/>
    <w:rsid w:val="001D2250"/>
    <w:rsid w:val="001D25E9"/>
    <w:rsid w:val="001D410C"/>
    <w:rsid w:val="001D429E"/>
    <w:rsid w:val="001D6A13"/>
    <w:rsid w:val="001E001C"/>
    <w:rsid w:val="001E1C84"/>
    <w:rsid w:val="001E252E"/>
    <w:rsid w:val="001E4B56"/>
    <w:rsid w:val="001E4CC3"/>
    <w:rsid w:val="001E4FDD"/>
    <w:rsid w:val="001E57A5"/>
    <w:rsid w:val="001E6EE1"/>
    <w:rsid w:val="001F2291"/>
    <w:rsid w:val="001F2B9F"/>
    <w:rsid w:val="001F2BED"/>
    <w:rsid w:val="001F32EF"/>
    <w:rsid w:val="001F3D63"/>
    <w:rsid w:val="001F3E78"/>
    <w:rsid w:val="001F75C5"/>
    <w:rsid w:val="00203830"/>
    <w:rsid w:val="0020414D"/>
    <w:rsid w:val="00204E94"/>
    <w:rsid w:val="00205216"/>
    <w:rsid w:val="00205629"/>
    <w:rsid w:val="00210033"/>
    <w:rsid w:val="0021130A"/>
    <w:rsid w:val="002131A9"/>
    <w:rsid w:val="00213871"/>
    <w:rsid w:val="00216603"/>
    <w:rsid w:val="00224D33"/>
    <w:rsid w:val="00224FC1"/>
    <w:rsid w:val="00225F17"/>
    <w:rsid w:val="002265E7"/>
    <w:rsid w:val="00226DA9"/>
    <w:rsid w:val="00226F20"/>
    <w:rsid w:val="00227B93"/>
    <w:rsid w:val="00233AFC"/>
    <w:rsid w:val="00233F53"/>
    <w:rsid w:val="00235890"/>
    <w:rsid w:val="00235980"/>
    <w:rsid w:val="00237E28"/>
    <w:rsid w:val="002406FC"/>
    <w:rsid w:val="00241CCB"/>
    <w:rsid w:val="002431C1"/>
    <w:rsid w:val="00244483"/>
    <w:rsid w:val="00245C3D"/>
    <w:rsid w:val="00245C88"/>
    <w:rsid w:val="002460A1"/>
    <w:rsid w:val="00251C1C"/>
    <w:rsid w:val="0025375E"/>
    <w:rsid w:val="00254789"/>
    <w:rsid w:val="00255FE9"/>
    <w:rsid w:val="0025754A"/>
    <w:rsid w:val="0026046D"/>
    <w:rsid w:val="00262495"/>
    <w:rsid w:val="0026428A"/>
    <w:rsid w:val="00266D6F"/>
    <w:rsid w:val="00267A39"/>
    <w:rsid w:val="00267ED4"/>
    <w:rsid w:val="00270FC7"/>
    <w:rsid w:val="00271012"/>
    <w:rsid w:val="00272A6E"/>
    <w:rsid w:val="0027385A"/>
    <w:rsid w:val="00274037"/>
    <w:rsid w:val="00275D1B"/>
    <w:rsid w:val="00276238"/>
    <w:rsid w:val="002834D1"/>
    <w:rsid w:val="00284B0F"/>
    <w:rsid w:val="00287DD5"/>
    <w:rsid w:val="00292372"/>
    <w:rsid w:val="002929C2"/>
    <w:rsid w:val="00293559"/>
    <w:rsid w:val="00297F0A"/>
    <w:rsid w:val="002A014B"/>
    <w:rsid w:val="002A0C04"/>
    <w:rsid w:val="002A288A"/>
    <w:rsid w:val="002A445D"/>
    <w:rsid w:val="002A481F"/>
    <w:rsid w:val="002A4CAE"/>
    <w:rsid w:val="002A71E1"/>
    <w:rsid w:val="002A77AF"/>
    <w:rsid w:val="002B1812"/>
    <w:rsid w:val="002B1D1D"/>
    <w:rsid w:val="002B2AAF"/>
    <w:rsid w:val="002B3F4C"/>
    <w:rsid w:val="002B5DA4"/>
    <w:rsid w:val="002B7149"/>
    <w:rsid w:val="002B795C"/>
    <w:rsid w:val="002C02C0"/>
    <w:rsid w:val="002C1285"/>
    <w:rsid w:val="002C4EB8"/>
    <w:rsid w:val="002C71C4"/>
    <w:rsid w:val="002D0F93"/>
    <w:rsid w:val="002D501F"/>
    <w:rsid w:val="002D5E5D"/>
    <w:rsid w:val="002D69A2"/>
    <w:rsid w:val="002D6C7C"/>
    <w:rsid w:val="002D70EC"/>
    <w:rsid w:val="002D7431"/>
    <w:rsid w:val="002E1C8B"/>
    <w:rsid w:val="002E3EB4"/>
    <w:rsid w:val="002E6894"/>
    <w:rsid w:val="002E6A45"/>
    <w:rsid w:val="002E70EC"/>
    <w:rsid w:val="002E79BD"/>
    <w:rsid w:val="002E7FB7"/>
    <w:rsid w:val="002F0975"/>
    <w:rsid w:val="002F1949"/>
    <w:rsid w:val="002F49A9"/>
    <w:rsid w:val="002F66AE"/>
    <w:rsid w:val="002F7A14"/>
    <w:rsid w:val="003008B7"/>
    <w:rsid w:val="00302803"/>
    <w:rsid w:val="0030348A"/>
    <w:rsid w:val="003067F6"/>
    <w:rsid w:val="00307E3F"/>
    <w:rsid w:val="00314CF5"/>
    <w:rsid w:val="00314FDA"/>
    <w:rsid w:val="00315409"/>
    <w:rsid w:val="00317285"/>
    <w:rsid w:val="0031728B"/>
    <w:rsid w:val="00317B1C"/>
    <w:rsid w:val="00317D03"/>
    <w:rsid w:val="00320020"/>
    <w:rsid w:val="00322033"/>
    <w:rsid w:val="00327FB4"/>
    <w:rsid w:val="003320EF"/>
    <w:rsid w:val="00332C03"/>
    <w:rsid w:val="003347AA"/>
    <w:rsid w:val="0033539B"/>
    <w:rsid w:val="003412DE"/>
    <w:rsid w:val="00341349"/>
    <w:rsid w:val="00343B14"/>
    <w:rsid w:val="00344F78"/>
    <w:rsid w:val="00346516"/>
    <w:rsid w:val="00347E4D"/>
    <w:rsid w:val="00350262"/>
    <w:rsid w:val="00351482"/>
    <w:rsid w:val="00360E4D"/>
    <w:rsid w:val="003623FB"/>
    <w:rsid w:val="00372D37"/>
    <w:rsid w:val="003759E3"/>
    <w:rsid w:val="003827BF"/>
    <w:rsid w:val="003838C8"/>
    <w:rsid w:val="00385EEC"/>
    <w:rsid w:val="003919AC"/>
    <w:rsid w:val="00393236"/>
    <w:rsid w:val="00393F73"/>
    <w:rsid w:val="00394886"/>
    <w:rsid w:val="00394A8E"/>
    <w:rsid w:val="00394DEF"/>
    <w:rsid w:val="003953EB"/>
    <w:rsid w:val="00395C01"/>
    <w:rsid w:val="003A12F6"/>
    <w:rsid w:val="003A34E7"/>
    <w:rsid w:val="003A5484"/>
    <w:rsid w:val="003A64CA"/>
    <w:rsid w:val="003B0BCB"/>
    <w:rsid w:val="003B156C"/>
    <w:rsid w:val="003B30E1"/>
    <w:rsid w:val="003B3BC3"/>
    <w:rsid w:val="003B4F58"/>
    <w:rsid w:val="003B5B17"/>
    <w:rsid w:val="003B7538"/>
    <w:rsid w:val="003B78A6"/>
    <w:rsid w:val="003B79BB"/>
    <w:rsid w:val="003B7F5F"/>
    <w:rsid w:val="003C0B9F"/>
    <w:rsid w:val="003C2B33"/>
    <w:rsid w:val="003C38CD"/>
    <w:rsid w:val="003C3B75"/>
    <w:rsid w:val="003C5F75"/>
    <w:rsid w:val="003C6798"/>
    <w:rsid w:val="003D08A6"/>
    <w:rsid w:val="003D2BE5"/>
    <w:rsid w:val="003D7B71"/>
    <w:rsid w:val="003E0A85"/>
    <w:rsid w:val="003E0BA1"/>
    <w:rsid w:val="003E16A9"/>
    <w:rsid w:val="003E241C"/>
    <w:rsid w:val="003E2F37"/>
    <w:rsid w:val="003E5EED"/>
    <w:rsid w:val="003F368A"/>
    <w:rsid w:val="003F3BC8"/>
    <w:rsid w:val="003F4954"/>
    <w:rsid w:val="003F4974"/>
    <w:rsid w:val="003F5EFF"/>
    <w:rsid w:val="003F72E6"/>
    <w:rsid w:val="0040202C"/>
    <w:rsid w:val="004020E2"/>
    <w:rsid w:val="0040413D"/>
    <w:rsid w:val="004049FD"/>
    <w:rsid w:val="00404A46"/>
    <w:rsid w:val="0040501C"/>
    <w:rsid w:val="00411BBE"/>
    <w:rsid w:val="00413618"/>
    <w:rsid w:val="00413930"/>
    <w:rsid w:val="004146D4"/>
    <w:rsid w:val="0041482B"/>
    <w:rsid w:val="0041721B"/>
    <w:rsid w:val="0041739A"/>
    <w:rsid w:val="00420207"/>
    <w:rsid w:val="004205D4"/>
    <w:rsid w:val="004229F2"/>
    <w:rsid w:val="00422F4C"/>
    <w:rsid w:val="004236B0"/>
    <w:rsid w:val="00425843"/>
    <w:rsid w:val="004303A5"/>
    <w:rsid w:val="004319E2"/>
    <w:rsid w:val="0043222D"/>
    <w:rsid w:val="00432D31"/>
    <w:rsid w:val="004346FF"/>
    <w:rsid w:val="00436013"/>
    <w:rsid w:val="0043617F"/>
    <w:rsid w:val="00436DEA"/>
    <w:rsid w:val="0044021B"/>
    <w:rsid w:val="004423BC"/>
    <w:rsid w:val="00442B79"/>
    <w:rsid w:val="00443926"/>
    <w:rsid w:val="00443CE7"/>
    <w:rsid w:val="00444E27"/>
    <w:rsid w:val="00445A3D"/>
    <w:rsid w:val="0044746C"/>
    <w:rsid w:val="0045404F"/>
    <w:rsid w:val="00455AF9"/>
    <w:rsid w:val="00457595"/>
    <w:rsid w:val="00460CD3"/>
    <w:rsid w:val="0046510D"/>
    <w:rsid w:val="00467381"/>
    <w:rsid w:val="00472E63"/>
    <w:rsid w:val="0047344F"/>
    <w:rsid w:val="00473752"/>
    <w:rsid w:val="00473861"/>
    <w:rsid w:val="00474CD7"/>
    <w:rsid w:val="00476F44"/>
    <w:rsid w:val="00482170"/>
    <w:rsid w:val="0048332C"/>
    <w:rsid w:val="00485B68"/>
    <w:rsid w:val="0048693F"/>
    <w:rsid w:val="00491241"/>
    <w:rsid w:val="004951E3"/>
    <w:rsid w:val="00496870"/>
    <w:rsid w:val="00497F54"/>
    <w:rsid w:val="004A04C0"/>
    <w:rsid w:val="004A133F"/>
    <w:rsid w:val="004A1A6E"/>
    <w:rsid w:val="004A239E"/>
    <w:rsid w:val="004A7006"/>
    <w:rsid w:val="004B05DE"/>
    <w:rsid w:val="004B2C84"/>
    <w:rsid w:val="004B4685"/>
    <w:rsid w:val="004B7E25"/>
    <w:rsid w:val="004C21FF"/>
    <w:rsid w:val="004C3E36"/>
    <w:rsid w:val="004C6527"/>
    <w:rsid w:val="004C692D"/>
    <w:rsid w:val="004C6FEE"/>
    <w:rsid w:val="004C7866"/>
    <w:rsid w:val="004D0A82"/>
    <w:rsid w:val="004D0D57"/>
    <w:rsid w:val="004D0E4D"/>
    <w:rsid w:val="004D119A"/>
    <w:rsid w:val="004D2687"/>
    <w:rsid w:val="004D3EB5"/>
    <w:rsid w:val="004D6318"/>
    <w:rsid w:val="004D665B"/>
    <w:rsid w:val="004D675D"/>
    <w:rsid w:val="004D7964"/>
    <w:rsid w:val="004E1784"/>
    <w:rsid w:val="004E2834"/>
    <w:rsid w:val="004E6595"/>
    <w:rsid w:val="004E6E28"/>
    <w:rsid w:val="004E6E5D"/>
    <w:rsid w:val="004F09FD"/>
    <w:rsid w:val="004F0F5E"/>
    <w:rsid w:val="004F17A9"/>
    <w:rsid w:val="004F3F7B"/>
    <w:rsid w:val="004F67DB"/>
    <w:rsid w:val="00500490"/>
    <w:rsid w:val="0050056D"/>
    <w:rsid w:val="00500B10"/>
    <w:rsid w:val="0050317C"/>
    <w:rsid w:val="0050387B"/>
    <w:rsid w:val="00503E9D"/>
    <w:rsid w:val="00503EA0"/>
    <w:rsid w:val="00511060"/>
    <w:rsid w:val="0051274D"/>
    <w:rsid w:val="00514E98"/>
    <w:rsid w:val="00517FF4"/>
    <w:rsid w:val="00522F3E"/>
    <w:rsid w:val="005242CF"/>
    <w:rsid w:val="0052504F"/>
    <w:rsid w:val="005270E4"/>
    <w:rsid w:val="00531674"/>
    <w:rsid w:val="0053184E"/>
    <w:rsid w:val="0053259B"/>
    <w:rsid w:val="0053267B"/>
    <w:rsid w:val="005330F8"/>
    <w:rsid w:val="005333DC"/>
    <w:rsid w:val="00534931"/>
    <w:rsid w:val="0053767E"/>
    <w:rsid w:val="00540F17"/>
    <w:rsid w:val="0054177D"/>
    <w:rsid w:val="005430EA"/>
    <w:rsid w:val="00543490"/>
    <w:rsid w:val="00543F70"/>
    <w:rsid w:val="00544351"/>
    <w:rsid w:val="00547693"/>
    <w:rsid w:val="005545F7"/>
    <w:rsid w:val="005563D7"/>
    <w:rsid w:val="005601CC"/>
    <w:rsid w:val="0056312A"/>
    <w:rsid w:val="0056333D"/>
    <w:rsid w:val="00563BC0"/>
    <w:rsid w:val="00565A93"/>
    <w:rsid w:val="0056677F"/>
    <w:rsid w:val="0056788C"/>
    <w:rsid w:val="005703B2"/>
    <w:rsid w:val="00570E31"/>
    <w:rsid w:val="005711DA"/>
    <w:rsid w:val="00576D42"/>
    <w:rsid w:val="00576D8B"/>
    <w:rsid w:val="00581249"/>
    <w:rsid w:val="00581437"/>
    <w:rsid w:val="00581837"/>
    <w:rsid w:val="00581FD8"/>
    <w:rsid w:val="00582D10"/>
    <w:rsid w:val="005847D1"/>
    <w:rsid w:val="00584DCB"/>
    <w:rsid w:val="00587709"/>
    <w:rsid w:val="00587808"/>
    <w:rsid w:val="0059331D"/>
    <w:rsid w:val="005959AE"/>
    <w:rsid w:val="005A017C"/>
    <w:rsid w:val="005A11F5"/>
    <w:rsid w:val="005A393D"/>
    <w:rsid w:val="005B1A0A"/>
    <w:rsid w:val="005B2E20"/>
    <w:rsid w:val="005B3F09"/>
    <w:rsid w:val="005B7CC6"/>
    <w:rsid w:val="005C1EA9"/>
    <w:rsid w:val="005C3AE4"/>
    <w:rsid w:val="005C4141"/>
    <w:rsid w:val="005C6230"/>
    <w:rsid w:val="005C64D7"/>
    <w:rsid w:val="005D174F"/>
    <w:rsid w:val="005D23BF"/>
    <w:rsid w:val="005D246B"/>
    <w:rsid w:val="005D4313"/>
    <w:rsid w:val="005D4F5A"/>
    <w:rsid w:val="005D55D7"/>
    <w:rsid w:val="005D5745"/>
    <w:rsid w:val="005D5C93"/>
    <w:rsid w:val="005D686C"/>
    <w:rsid w:val="005E218F"/>
    <w:rsid w:val="005E6D00"/>
    <w:rsid w:val="005E76C5"/>
    <w:rsid w:val="005F36E8"/>
    <w:rsid w:val="005F3C7F"/>
    <w:rsid w:val="005F4262"/>
    <w:rsid w:val="005F5D0C"/>
    <w:rsid w:val="0060170A"/>
    <w:rsid w:val="00602834"/>
    <w:rsid w:val="00603ABC"/>
    <w:rsid w:val="00603DFB"/>
    <w:rsid w:val="00605318"/>
    <w:rsid w:val="00606459"/>
    <w:rsid w:val="00607160"/>
    <w:rsid w:val="00607C99"/>
    <w:rsid w:val="00607F1A"/>
    <w:rsid w:val="00607FBA"/>
    <w:rsid w:val="0061105A"/>
    <w:rsid w:val="006114BD"/>
    <w:rsid w:val="00612E7E"/>
    <w:rsid w:val="00614940"/>
    <w:rsid w:val="00614FAA"/>
    <w:rsid w:val="00620000"/>
    <w:rsid w:val="0062261C"/>
    <w:rsid w:val="00623A74"/>
    <w:rsid w:val="00623BF3"/>
    <w:rsid w:val="00624CCC"/>
    <w:rsid w:val="00625322"/>
    <w:rsid w:val="006266C0"/>
    <w:rsid w:val="00626DCB"/>
    <w:rsid w:val="006278B7"/>
    <w:rsid w:val="00627CAC"/>
    <w:rsid w:val="00627F5F"/>
    <w:rsid w:val="00630DCD"/>
    <w:rsid w:val="00631404"/>
    <w:rsid w:val="00636E3B"/>
    <w:rsid w:val="00637E6B"/>
    <w:rsid w:val="0064068E"/>
    <w:rsid w:val="00640ACC"/>
    <w:rsid w:val="006435D2"/>
    <w:rsid w:val="00645D99"/>
    <w:rsid w:val="00646311"/>
    <w:rsid w:val="006469C0"/>
    <w:rsid w:val="006517FF"/>
    <w:rsid w:val="00652455"/>
    <w:rsid w:val="0065251F"/>
    <w:rsid w:val="00653399"/>
    <w:rsid w:val="006536DB"/>
    <w:rsid w:val="00655D0B"/>
    <w:rsid w:val="006575B3"/>
    <w:rsid w:val="006579C1"/>
    <w:rsid w:val="006601BB"/>
    <w:rsid w:val="00661BF3"/>
    <w:rsid w:val="0066457D"/>
    <w:rsid w:val="00664AFA"/>
    <w:rsid w:val="0066571B"/>
    <w:rsid w:val="00666516"/>
    <w:rsid w:val="00667238"/>
    <w:rsid w:val="00667E86"/>
    <w:rsid w:val="0067571D"/>
    <w:rsid w:val="006759D0"/>
    <w:rsid w:val="00680B16"/>
    <w:rsid w:val="00680CC5"/>
    <w:rsid w:val="00681387"/>
    <w:rsid w:val="00682C25"/>
    <w:rsid w:val="00682DAC"/>
    <w:rsid w:val="006842FB"/>
    <w:rsid w:val="0068493F"/>
    <w:rsid w:val="00685C07"/>
    <w:rsid w:val="00685FBE"/>
    <w:rsid w:val="00690E67"/>
    <w:rsid w:val="00694144"/>
    <w:rsid w:val="006944E6"/>
    <w:rsid w:val="0069453C"/>
    <w:rsid w:val="00695486"/>
    <w:rsid w:val="0069604C"/>
    <w:rsid w:val="0069661F"/>
    <w:rsid w:val="00697BCD"/>
    <w:rsid w:val="006A29C5"/>
    <w:rsid w:val="006A4771"/>
    <w:rsid w:val="006A5841"/>
    <w:rsid w:val="006A6B79"/>
    <w:rsid w:val="006A6DC2"/>
    <w:rsid w:val="006A7449"/>
    <w:rsid w:val="006B03B1"/>
    <w:rsid w:val="006B285F"/>
    <w:rsid w:val="006B3D25"/>
    <w:rsid w:val="006B4F1E"/>
    <w:rsid w:val="006B6495"/>
    <w:rsid w:val="006B7C1B"/>
    <w:rsid w:val="006C190A"/>
    <w:rsid w:val="006C1C3D"/>
    <w:rsid w:val="006C2F80"/>
    <w:rsid w:val="006C391B"/>
    <w:rsid w:val="006C457E"/>
    <w:rsid w:val="006C5E44"/>
    <w:rsid w:val="006C67C4"/>
    <w:rsid w:val="006C7771"/>
    <w:rsid w:val="006D1A67"/>
    <w:rsid w:val="006D3370"/>
    <w:rsid w:val="006D383C"/>
    <w:rsid w:val="006D4B0C"/>
    <w:rsid w:val="006D69EA"/>
    <w:rsid w:val="006E02B1"/>
    <w:rsid w:val="006E0354"/>
    <w:rsid w:val="006E2DEC"/>
    <w:rsid w:val="006E2EC0"/>
    <w:rsid w:val="006E4D21"/>
    <w:rsid w:val="006F0A25"/>
    <w:rsid w:val="006F1383"/>
    <w:rsid w:val="006F3352"/>
    <w:rsid w:val="006F4447"/>
    <w:rsid w:val="006F4EE3"/>
    <w:rsid w:val="006F5614"/>
    <w:rsid w:val="0070514A"/>
    <w:rsid w:val="00710ECC"/>
    <w:rsid w:val="007122EE"/>
    <w:rsid w:val="0071383E"/>
    <w:rsid w:val="00713E79"/>
    <w:rsid w:val="00715DD9"/>
    <w:rsid w:val="00715FF6"/>
    <w:rsid w:val="007170A3"/>
    <w:rsid w:val="00717193"/>
    <w:rsid w:val="00720298"/>
    <w:rsid w:val="0072180E"/>
    <w:rsid w:val="007232E6"/>
    <w:rsid w:val="00732447"/>
    <w:rsid w:val="00732C59"/>
    <w:rsid w:val="00733993"/>
    <w:rsid w:val="00733B15"/>
    <w:rsid w:val="00734B15"/>
    <w:rsid w:val="0073621E"/>
    <w:rsid w:val="00740A41"/>
    <w:rsid w:val="0074224E"/>
    <w:rsid w:val="00742ABD"/>
    <w:rsid w:val="0074475D"/>
    <w:rsid w:val="00745CBB"/>
    <w:rsid w:val="00746E3B"/>
    <w:rsid w:val="007508C0"/>
    <w:rsid w:val="00752D35"/>
    <w:rsid w:val="00753B6C"/>
    <w:rsid w:val="00754417"/>
    <w:rsid w:val="00754888"/>
    <w:rsid w:val="00754900"/>
    <w:rsid w:val="00754EC0"/>
    <w:rsid w:val="0075582A"/>
    <w:rsid w:val="00755AAD"/>
    <w:rsid w:val="00755D16"/>
    <w:rsid w:val="00756A05"/>
    <w:rsid w:val="00756C3E"/>
    <w:rsid w:val="0075716C"/>
    <w:rsid w:val="0075753C"/>
    <w:rsid w:val="00762A99"/>
    <w:rsid w:val="00762B38"/>
    <w:rsid w:val="00770CCC"/>
    <w:rsid w:val="00773C48"/>
    <w:rsid w:val="00773DC7"/>
    <w:rsid w:val="00774CA2"/>
    <w:rsid w:val="00774EEF"/>
    <w:rsid w:val="00775EB9"/>
    <w:rsid w:val="00776392"/>
    <w:rsid w:val="007774AB"/>
    <w:rsid w:val="00780BDD"/>
    <w:rsid w:val="00784F28"/>
    <w:rsid w:val="007903C1"/>
    <w:rsid w:val="0079059E"/>
    <w:rsid w:val="007920EE"/>
    <w:rsid w:val="00792204"/>
    <w:rsid w:val="0079332F"/>
    <w:rsid w:val="00793AB8"/>
    <w:rsid w:val="00793F6E"/>
    <w:rsid w:val="007949DF"/>
    <w:rsid w:val="007A173B"/>
    <w:rsid w:val="007A1F9B"/>
    <w:rsid w:val="007A27F3"/>
    <w:rsid w:val="007A2DA6"/>
    <w:rsid w:val="007A37A6"/>
    <w:rsid w:val="007A449D"/>
    <w:rsid w:val="007A561F"/>
    <w:rsid w:val="007A5BD6"/>
    <w:rsid w:val="007A6CE7"/>
    <w:rsid w:val="007A757B"/>
    <w:rsid w:val="007B0124"/>
    <w:rsid w:val="007B082C"/>
    <w:rsid w:val="007B127D"/>
    <w:rsid w:val="007B12D6"/>
    <w:rsid w:val="007B1344"/>
    <w:rsid w:val="007B1431"/>
    <w:rsid w:val="007B2B45"/>
    <w:rsid w:val="007B2D1A"/>
    <w:rsid w:val="007B2EA5"/>
    <w:rsid w:val="007B3F64"/>
    <w:rsid w:val="007C0648"/>
    <w:rsid w:val="007C2E4E"/>
    <w:rsid w:val="007C617B"/>
    <w:rsid w:val="007C7975"/>
    <w:rsid w:val="007C7CE0"/>
    <w:rsid w:val="007D1269"/>
    <w:rsid w:val="007D1E86"/>
    <w:rsid w:val="007D3BB9"/>
    <w:rsid w:val="007D46FC"/>
    <w:rsid w:val="007D55A3"/>
    <w:rsid w:val="007E0A67"/>
    <w:rsid w:val="007E3BE2"/>
    <w:rsid w:val="007E3EA6"/>
    <w:rsid w:val="007E63D2"/>
    <w:rsid w:val="007E7AD9"/>
    <w:rsid w:val="007F00C9"/>
    <w:rsid w:val="007F0DEF"/>
    <w:rsid w:val="007F1635"/>
    <w:rsid w:val="007F3257"/>
    <w:rsid w:val="007F37D5"/>
    <w:rsid w:val="007F47D3"/>
    <w:rsid w:val="007F520F"/>
    <w:rsid w:val="007F602E"/>
    <w:rsid w:val="008017D2"/>
    <w:rsid w:val="00804583"/>
    <w:rsid w:val="0080562A"/>
    <w:rsid w:val="008062D5"/>
    <w:rsid w:val="00810371"/>
    <w:rsid w:val="008135C7"/>
    <w:rsid w:val="0081527E"/>
    <w:rsid w:val="00815E9F"/>
    <w:rsid w:val="008166B2"/>
    <w:rsid w:val="008175C1"/>
    <w:rsid w:val="00817882"/>
    <w:rsid w:val="00817AC6"/>
    <w:rsid w:val="00820D3E"/>
    <w:rsid w:val="008264B7"/>
    <w:rsid w:val="0082688C"/>
    <w:rsid w:val="008327C9"/>
    <w:rsid w:val="00834705"/>
    <w:rsid w:val="00835241"/>
    <w:rsid w:val="00842194"/>
    <w:rsid w:val="00842664"/>
    <w:rsid w:val="00843994"/>
    <w:rsid w:val="0084689B"/>
    <w:rsid w:val="00846FD7"/>
    <w:rsid w:val="0085083E"/>
    <w:rsid w:val="00852442"/>
    <w:rsid w:val="00853AD8"/>
    <w:rsid w:val="0085485D"/>
    <w:rsid w:val="00855C5D"/>
    <w:rsid w:val="00857966"/>
    <w:rsid w:val="00861D2B"/>
    <w:rsid w:val="008636C4"/>
    <w:rsid w:val="008647AE"/>
    <w:rsid w:val="00865226"/>
    <w:rsid w:val="008701F1"/>
    <w:rsid w:val="00871946"/>
    <w:rsid w:val="00873207"/>
    <w:rsid w:val="00873BD0"/>
    <w:rsid w:val="00874B86"/>
    <w:rsid w:val="008758AF"/>
    <w:rsid w:val="00875B67"/>
    <w:rsid w:val="0087701D"/>
    <w:rsid w:val="008805EA"/>
    <w:rsid w:val="008812B4"/>
    <w:rsid w:val="00881352"/>
    <w:rsid w:val="00881643"/>
    <w:rsid w:val="00886EA3"/>
    <w:rsid w:val="008872E5"/>
    <w:rsid w:val="00887757"/>
    <w:rsid w:val="00890523"/>
    <w:rsid w:val="00890A79"/>
    <w:rsid w:val="00891262"/>
    <w:rsid w:val="008918B0"/>
    <w:rsid w:val="008918B4"/>
    <w:rsid w:val="00891F06"/>
    <w:rsid w:val="008938AC"/>
    <w:rsid w:val="00893A8D"/>
    <w:rsid w:val="008940D1"/>
    <w:rsid w:val="008A07B8"/>
    <w:rsid w:val="008A1078"/>
    <w:rsid w:val="008B0672"/>
    <w:rsid w:val="008B308A"/>
    <w:rsid w:val="008B3799"/>
    <w:rsid w:val="008B6497"/>
    <w:rsid w:val="008B7183"/>
    <w:rsid w:val="008C349E"/>
    <w:rsid w:val="008C3E9F"/>
    <w:rsid w:val="008C437E"/>
    <w:rsid w:val="008C6851"/>
    <w:rsid w:val="008C6D9B"/>
    <w:rsid w:val="008D072D"/>
    <w:rsid w:val="008D0B87"/>
    <w:rsid w:val="008D0C39"/>
    <w:rsid w:val="008D39F0"/>
    <w:rsid w:val="008D46C4"/>
    <w:rsid w:val="008D4FDB"/>
    <w:rsid w:val="008D535E"/>
    <w:rsid w:val="008D7A33"/>
    <w:rsid w:val="008E134F"/>
    <w:rsid w:val="008E14F7"/>
    <w:rsid w:val="008E190B"/>
    <w:rsid w:val="008E4AAB"/>
    <w:rsid w:val="008E4E30"/>
    <w:rsid w:val="008E7C8E"/>
    <w:rsid w:val="008F1C7A"/>
    <w:rsid w:val="008F400B"/>
    <w:rsid w:val="008F4B1E"/>
    <w:rsid w:val="008F54C0"/>
    <w:rsid w:val="008F56A3"/>
    <w:rsid w:val="008F733F"/>
    <w:rsid w:val="008F7A0C"/>
    <w:rsid w:val="00900658"/>
    <w:rsid w:val="00900C9A"/>
    <w:rsid w:val="0090249D"/>
    <w:rsid w:val="009053BE"/>
    <w:rsid w:val="00911142"/>
    <w:rsid w:val="0091180E"/>
    <w:rsid w:val="0091437D"/>
    <w:rsid w:val="00915309"/>
    <w:rsid w:val="0091748F"/>
    <w:rsid w:val="00921A16"/>
    <w:rsid w:val="00923D18"/>
    <w:rsid w:val="00924657"/>
    <w:rsid w:val="00924CE8"/>
    <w:rsid w:val="00926414"/>
    <w:rsid w:val="00927949"/>
    <w:rsid w:val="00927BEA"/>
    <w:rsid w:val="00930913"/>
    <w:rsid w:val="00932A99"/>
    <w:rsid w:val="009335AC"/>
    <w:rsid w:val="009363FA"/>
    <w:rsid w:val="00936459"/>
    <w:rsid w:val="00940A92"/>
    <w:rsid w:val="00940AEF"/>
    <w:rsid w:val="00940FCF"/>
    <w:rsid w:val="00941606"/>
    <w:rsid w:val="00941B79"/>
    <w:rsid w:val="009440E4"/>
    <w:rsid w:val="009443EE"/>
    <w:rsid w:val="009446D2"/>
    <w:rsid w:val="00945242"/>
    <w:rsid w:val="00950355"/>
    <w:rsid w:val="00954418"/>
    <w:rsid w:val="00954A5F"/>
    <w:rsid w:val="00955DF0"/>
    <w:rsid w:val="00956231"/>
    <w:rsid w:val="00957FC8"/>
    <w:rsid w:val="00960CE9"/>
    <w:rsid w:val="00961336"/>
    <w:rsid w:val="009617D6"/>
    <w:rsid w:val="009617E3"/>
    <w:rsid w:val="009637CB"/>
    <w:rsid w:val="00966D03"/>
    <w:rsid w:val="0096720A"/>
    <w:rsid w:val="00967DEE"/>
    <w:rsid w:val="00974839"/>
    <w:rsid w:val="00980514"/>
    <w:rsid w:val="00981700"/>
    <w:rsid w:val="009843E2"/>
    <w:rsid w:val="00987B24"/>
    <w:rsid w:val="00987B5A"/>
    <w:rsid w:val="00990021"/>
    <w:rsid w:val="0099070C"/>
    <w:rsid w:val="00990D2F"/>
    <w:rsid w:val="00992CBD"/>
    <w:rsid w:val="0099314B"/>
    <w:rsid w:val="00993497"/>
    <w:rsid w:val="00994BA3"/>
    <w:rsid w:val="00995435"/>
    <w:rsid w:val="009961B5"/>
    <w:rsid w:val="00996964"/>
    <w:rsid w:val="009970C7"/>
    <w:rsid w:val="009A054E"/>
    <w:rsid w:val="009A083F"/>
    <w:rsid w:val="009A3301"/>
    <w:rsid w:val="009A507A"/>
    <w:rsid w:val="009A648C"/>
    <w:rsid w:val="009A6587"/>
    <w:rsid w:val="009A6BB8"/>
    <w:rsid w:val="009B4AD1"/>
    <w:rsid w:val="009C07A4"/>
    <w:rsid w:val="009C24A6"/>
    <w:rsid w:val="009C3108"/>
    <w:rsid w:val="009C3DEB"/>
    <w:rsid w:val="009C5820"/>
    <w:rsid w:val="009C62E8"/>
    <w:rsid w:val="009D0034"/>
    <w:rsid w:val="009D0328"/>
    <w:rsid w:val="009D1136"/>
    <w:rsid w:val="009D1276"/>
    <w:rsid w:val="009D4A89"/>
    <w:rsid w:val="009D585E"/>
    <w:rsid w:val="009D592C"/>
    <w:rsid w:val="009E0563"/>
    <w:rsid w:val="009E0EB5"/>
    <w:rsid w:val="009E2843"/>
    <w:rsid w:val="009E70D9"/>
    <w:rsid w:val="009F0A42"/>
    <w:rsid w:val="009F0B51"/>
    <w:rsid w:val="009F1E02"/>
    <w:rsid w:val="009F7EF7"/>
    <w:rsid w:val="00A015A1"/>
    <w:rsid w:val="00A03EB6"/>
    <w:rsid w:val="00A04B0B"/>
    <w:rsid w:val="00A0551B"/>
    <w:rsid w:val="00A07E51"/>
    <w:rsid w:val="00A10629"/>
    <w:rsid w:val="00A122BF"/>
    <w:rsid w:val="00A12B95"/>
    <w:rsid w:val="00A13902"/>
    <w:rsid w:val="00A13F07"/>
    <w:rsid w:val="00A1533E"/>
    <w:rsid w:val="00A178BF"/>
    <w:rsid w:val="00A17D44"/>
    <w:rsid w:val="00A17F76"/>
    <w:rsid w:val="00A227A6"/>
    <w:rsid w:val="00A237C9"/>
    <w:rsid w:val="00A2418B"/>
    <w:rsid w:val="00A2614B"/>
    <w:rsid w:val="00A261CF"/>
    <w:rsid w:val="00A27F4C"/>
    <w:rsid w:val="00A30F93"/>
    <w:rsid w:val="00A34653"/>
    <w:rsid w:val="00A36162"/>
    <w:rsid w:val="00A37925"/>
    <w:rsid w:val="00A415A1"/>
    <w:rsid w:val="00A43BDB"/>
    <w:rsid w:val="00A443D0"/>
    <w:rsid w:val="00A4582E"/>
    <w:rsid w:val="00A46EA6"/>
    <w:rsid w:val="00A47206"/>
    <w:rsid w:val="00A47615"/>
    <w:rsid w:val="00A47F9B"/>
    <w:rsid w:val="00A5017E"/>
    <w:rsid w:val="00A54DF3"/>
    <w:rsid w:val="00A54F55"/>
    <w:rsid w:val="00A5566B"/>
    <w:rsid w:val="00A56C24"/>
    <w:rsid w:val="00A575E4"/>
    <w:rsid w:val="00A61030"/>
    <w:rsid w:val="00A62121"/>
    <w:rsid w:val="00A6255B"/>
    <w:rsid w:val="00A62A97"/>
    <w:rsid w:val="00A63B74"/>
    <w:rsid w:val="00A63E6D"/>
    <w:rsid w:val="00A64D30"/>
    <w:rsid w:val="00A65CA5"/>
    <w:rsid w:val="00A727AB"/>
    <w:rsid w:val="00A7401A"/>
    <w:rsid w:val="00A75072"/>
    <w:rsid w:val="00A76160"/>
    <w:rsid w:val="00A777DF"/>
    <w:rsid w:val="00A825FF"/>
    <w:rsid w:val="00A84CA8"/>
    <w:rsid w:val="00A84F84"/>
    <w:rsid w:val="00A850E2"/>
    <w:rsid w:val="00A854FC"/>
    <w:rsid w:val="00A8553E"/>
    <w:rsid w:val="00A866AD"/>
    <w:rsid w:val="00A866D2"/>
    <w:rsid w:val="00A86920"/>
    <w:rsid w:val="00A87042"/>
    <w:rsid w:val="00A92A52"/>
    <w:rsid w:val="00A94A42"/>
    <w:rsid w:val="00A97A93"/>
    <w:rsid w:val="00A97C71"/>
    <w:rsid w:val="00AA10B5"/>
    <w:rsid w:val="00AA2197"/>
    <w:rsid w:val="00AA4F8B"/>
    <w:rsid w:val="00AA5271"/>
    <w:rsid w:val="00AA7707"/>
    <w:rsid w:val="00AB0576"/>
    <w:rsid w:val="00AB0B50"/>
    <w:rsid w:val="00AB0B8A"/>
    <w:rsid w:val="00AB1205"/>
    <w:rsid w:val="00AB1FB9"/>
    <w:rsid w:val="00AB288D"/>
    <w:rsid w:val="00AB3148"/>
    <w:rsid w:val="00AB35F3"/>
    <w:rsid w:val="00AB7223"/>
    <w:rsid w:val="00AC09BC"/>
    <w:rsid w:val="00AC1910"/>
    <w:rsid w:val="00AC3E5C"/>
    <w:rsid w:val="00AC5BEE"/>
    <w:rsid w:val="00AD0DA8"/>
    <w:rsid w:val="00AD14FE"/>
    <w:rsid w:val="00AD331B"/>
    <w:rsid w:val="00AD61BF"/>
    <w:rsid w:val="00AD76F6"/>
    <w:rsid w:val="00AE51DE"/>
    <w:rsid w:val="00AE65AE"/>
    <w:rsid w:val="00AE6BE8"/>
    <w:rsid w:val="00AE7777"/>
    <w:rsid w:val="00AF07EB"/>
    <w:rsid w:val="00AF1444"/>
    <w:rsid w:val="00AF32B6"/>
    <w:rsid w:val="00AF404E"/>
    <w:rsid w:val="00AF4D13"/>
    <w:rsid w:val="00AF590E"/>
    <w:rsid w:val="00AF76DA"/>
    <w:rsid w:val="00B009E6"/>
    <w:rsid w:val="00B01CDA"/>
    <w:rsid w:val="00B0363D"/>
    <w:rsid w:val="00B03714"/>
    <w:rsid w:val="00B04542"/>
    <w:rsid w:val="00B07C43"/>
    <w:rsid w:val="00B1243D"/>
    <w:rsid w:val="00B12E5C"/>
    <w:rsid w:val="00B16B56"/>
    <w:rsid w:val="00B16C71"/>
    <w:rsid w:val="00B177FB"/>
    <w:rsid w:val="00B20671"/>
    <w:rsid w:val="00B20923"/>
    <w:rsid w:val="00B2132C"/>
    <w:rsid w:val="00B2176A"/>
    <w:rsid w:val="00B23F01"/>
    <w:rsid w:val="00B2591D"/>
    <w:rsid w:val="00B328FF"/>
    <w:rsid w:val="00B33558"/>
    <w:rsid w:val="00B33C46"/>
    <w:rsid w:val="00B36908"/>
    <w:rsid w:val="00B40597"/>
    <w:rsid w:val="00B438D3"/>
    <w:rsid w:val="00B44A12"/>
    <w:rsid w:val="00B4636C"/>
    <w:rsid w:val="00B46A20"/>
    <w:rsid w:val="00B50794"/>
    <w:rsid w:val="00B50A7D"/>
    <w:rsid w:val="00B52727"/>
    <w:rsid w:val="00B53C9A"/>
    <w:rsid w:val="00B54EBE"/>
    <w:rsid w:val="00B57F1E"/>
    <w:rsid w:val="00B602DB"/>
    <w:rsid w:val="00B614F6"/>
    <w:rsid w:val="00B65764"/>
    <w:rsid w:val="00B65791"/>
    <w:rsid w:val="00B70594"/>
    <w:rsid w:val="00B71C00"/>
    <w:rsid w:val="00B71D59"/>
    <w:rsid w:val="00B74C9B"/>
    <w:rsid w:val="00B75748"/>
    <w:rsid w:val="00B803DD"/>
    <w:rsid w:val="00B81378"/>
    <w:rsid w:val="00B81CC3"/>
    <w:rsid w:val="00B823DC"/>
    <w:rsid w:val="00B83611"/>
    <w:rsid w:val="00B8373C"/>
    <w:rsid w:val="00B83BBE"/>
    <w:rsid w:val="00B85BB5"/>
    <w:rsid w:val="00B86468"/>
    <w:rsid w:val="00B9072F"/>
    <w:rsid w:val="00B908F9"/>
    <w:rsid w:val="00B91732"/>
    <w:rsid w:val="00B93504"/>
    <w:rsid w:val="00B96AFB"/>
    <w:rsid w:val="00B9710D"/>
    <w:rsid w:val="00BA113A"/>
    <w:rsid w:val="00BA4C79"/>
    <w:rsid w:val="00BA4ED2"/>
    <w:rsid w:val="00BA6183"/>
    <w:rsid w:val="00BB3873"/>
    <w:rsid w:val="00BB40B3"/>
    <w:rsid w:val="00BB4449"/>
    <w:rsid w:val="00BC11EF"/>
    <w:rsid w:val="00BC19C0"/>
    <w:rsid w:val="00BC1C95"/>
    <w:rsid w:val="00BC2880"/>
    <w:rsid w:val="00BC29D2"/>
    <w:rsid w:val="00BC6D83"/>
    <w:rsid w:val="00BD10DE"/>
    <w:rsid w:val="00BD1971"/>
    <w:rsid w:val="00BD23DB"/>
    <w:rsid w:val="00BD3272"/>
    <w:rsid w:val="00BD418D"/>
    <w:rsid w:val="00BD50E3"/>
    <w:rsid w:val="00BE1C63"/>
    <w:rsid w:val="00BE2477"/>
    <w:rsid w:val="00BE3947"/>
    <w:rsid w:val="00BE505F"/>
    <w:rsid w:val="00BE5134"/>
    <w:rsid w:val="00BE5964"/>
    <w:rsid w:val="00BE7141"/>
    <w:rsid w:val="00BF2D83"/>
    <w:rsid w:val="00BF39A6"/>
    <w:rsid w:val="00BF7472"/>
    <w:rsid w:val="00C004EA"/>
    <w:rsid w:val="00C01AD1"/>
    <w:rsid w:val="00C02F9C"/>
    <w:rsid w:val="00C03BFA"/>
    <w:rsid w:val="00C054B8"/>
    <w:rsid w:val="00C05AAC"/>
    <w:rsid w:val="00C06978"/>
    <w:rsid w:val="00C1001A"/>
    <w:rsid w:val="00C11AA4"/>
    <w:rsid w:val="00C12D71"/>
    <w:rsid w:val="00C15274"/>
    <w:rsid w:val="00C17767"/>
    <w:rsid w:val="00C17BDE"/>
    <w:rsid w:val="00C20D79"/>
    <w:rsid w:val="00C24BF8"/>
    <w:rsid w:val="00C26796"/>
    <w:rsid w:val="00C275F0"/>
    <w:rsid w:val="00C27BB9"/>
    <w:rsid w:val="00C32791"/>
    <w:rsid w:val="00C33B17"/>
    <w:rsid w:val="00C34D00"/>
    <w:rsid w:val="00C363E6"/>
    <w:rsid w:val="00C36D2C"/>
    <w:rsid w:val="00C41383"/>
    <w:rsid w:val="00C4208E"/>
    <w:rsid w:val="00C423A7"/>
    <w:rsid w:val="00C44450"/>
    <w:rsid w:val="00C45017"/>
    <w:rsid w:val="00C4509E"/>
    <w:rsid w:val="00C453D8"/>
    <w:rsid w:val="00C4606B"/>
    <w:rsid w:val="00C461DF"/>
    <w:rsid w:val="00C472C1"/>
    <w:rsid w:val="00C51170"/>
    <w:rsid w:val="00C53047"/>
    <w:rsid w:val="00C54D0C"/>
    <w:rsid w:val="00C62E1A"/>
    <w:rsid w:val="00C6384B"/>
    <w:rsid w:val="00C6431B"/>
    <w:rsid w:val="00C64C29"/>
    <w:rsid w:val="00C661A3"/>
    <w:rsid w:val="00C677C1"/>
    <w:rsid w:val="00C70B2E"/>
    <w:rsid w:val="00C7149A"/>
    <w:rsid w:val="00C71B61"/>
    <w:rsid w:val="00C72CBA"/>
    <w:rsid w:val="00C73B53"/>
    <w:rsid w:val="00C749E5"/>
    <w:rsid w:val="00C76C5A"/>
    <w:rsid w:val="00C77B8A"/>
    <w:rsid w:val="00C80DA2"/>
    <w:rsid w:val="00C81853"/>
    <w:rsid w:val="00C8293E"/>
    <w:rsid w:val="00C846A1"/>
    <w:rsid w:val="00C84B6B"/>
    <w:rsid w:val="00C869EF"/>
    <w:rsid w:val="00C9245A"/>
    <w:rsid w:val="00C959A5"/>
    <w:rsid w:val="00C96602"/>
    <w:rsid w:val="00C96FC9"/>
    <w:rsid w:val="00C974FD"/>
    <w:rsid w:val="00CA045A"/>
    <w:rsid w:val="00CA32D8"/>
    <w:rsid w:val="00CA4871"/>
    <w:rsid w:val="00CA4A84"/>
    <w:rsid w:val="00CA6AD2"/>
    <w:rsid w:val="00CA772B"/>
    <w:rsid w:val="00CB26C4"/>
    <w:rsid w:val="00CB273A"/>
    <w:rsid w:val="00CB4C4F"/>
    <w:rsid w:val="00CB64FA"/>
    <w:rsid w:val="00CC0586"/>
    <w:rsid w:val="00CC2A7E"/>
    <w:rsid w:val="00CC4940"/>
    <w:rsid w:val="00CC4B4C"/>
    <w:rsid w:val="00CC6100"/>
    <w:rsid w:val="00CC6869"/>
    <w:rsid w:val="00CD3640"/>
    <w:rsid w:val="00CD3D7F"/>
    <w:rsid w:val="00CD4F49"/>
    <w:rsid w:val="00CD5089"/>
    <w:rsid w:val="00CD6177"/>
    <w:rsid w:val="00CD701E"/>
    <w:rsid w:val="00CE3046"/>
    <w:rsid w:val="00CE74A2"/>
    <w:rsid w:val="00CF0740"/>
    <w:rsid w:val="00CF20D6"/>
    <w:rsid w:val="00CF5716"/>
    <w:rsid w:val="00CF691E"/>
    <w:rsid w:val="00CF6B8B"/>
    <w:rsid w:val="00CF73F5"/>
    <w:rsid w:val="00D034CF"/>
    <w:rsid w:val="00D03C12"/>
    <w:rsid w:val="00D10AB3"/>
    <w:rsid w:val="00D11FA6"/>
    <w:rsid w:val="00D13491"/>
    <w:rsid w:val="00D1426F"/>
    <w:rsid w:val="00D2188F"/>
    <w:rsid w:val="00D23318"/>
    <w:rsid w:val="00D2554F"/>
    <w:rsid w:val="00D25BC1"/>
    <w:rsid w:val="00D27D4B"/>
    <w:rsid w:val="00D27FF8"/>
    <w:rsid w:val="00D3023B"/>
    <w:rsid w:val="00D34F81"/>
    <w:rsid w:val="00D351BE"/>
    <w:rsid w:val="00D358F8"/>
    <w:rsid w:val="00D436FD"/>
    <w:rsid w:val="00D44866"/>
    <w:rsid w:val="00D46F4F"/>
    <w:rsid w:val="00D50B2C"/>
    <w:rsid w:val="00D5230B"/>
    <w:rsid w:val="00D551A7"/>
    <w:rsid w:val="00D57DE4"/>
    <w:rsid w:val="00D60A9F"/>
    <w:rsid w:val="00D63CA9"/>
    <w:rsid w:val="00D63CFE"/>
    <w:rsid w:val="00D64AC5"/>
    <w:rsid w:val="00D666A0"/>
    <w:rsid w:val="00D66B74"/>
    <w:rsid w:val="00D67107"/>
    <w:rsid w:val="00D711D8"/>
    <w:rsid w:val="00D7175D"/>
    <w:rsid w:val="00D7208E"/>
    <w:rsid w:val="00D77282"/>
    <w:rsid w:val="00D80C64"/>
    <w:rsid w:val="00D82EA5"/>
    <w:rsid w:val="00D82F5A"/>
    <w:rsid w:val="00D82FA3"/>
    <w:rsid w:val="00D85ED6"/>
    <w:rsid w:val="00D95BC3"/>
    <w:rsid w:val="00D96BDC"/>
    <w:rsid w:val="00D97D0D"/>
    <w:rsid w:val="00DA2ABA"/>
    <w:rsid w:val="00DA3E15"/>
    <w:rsid w:val="00DA515A"/>
    <w:rsid w:val="00DA60C1"/>
    <w:rsid w:val="00DA69BF"/>
    <w:rsid w:val="00DB0CBD"/>
    <w:rsid w:val="00DB1722"/>
    <w:rsid w:val="00DB1DB6"/>
    <w:rsid w:val="00DB3CCC"/>
    <w:rsid w:val="00DB77E7"/>
    <w:rsid w:val="00DC195D"/>
    <w:rsid w:val="00DC1CD9"/>
    <w:rsid w:val="00DC3168"/>
    <w:rsid w:val="00DC3653"/>
    <w:rsid w:val="00DC38F4"/>
    <w:rsid w:val="00DC68F7"/>
    <w:rsid w:val="00DC69AC"/>
    <w:rsid w:val="00DD1575"/>
    <w:rsid w:val="00DD43E6"/>
    <w:rsid w:val="00DD655D"/>
    <w:rsid w:val="00DD662A"/>
    <w:rsid w:val="00DE194D"/>
    <w:rsid w:val="00DE2545"/>
    <w:rsid w:val="00DE37DC"/>
    <w:rsid w:val="00DE3948"/>
    <w:rsid w:val="00DE4923"/>
    <w:rsid w:val="00DE5065"/>
    <w:rsid w:val="00DE5C43"/>
    <w:rsid w:val="00DF02FF"/>
    <w:rsid w:val="00DF0E87"/>
    <w:rsid w:val="00DF16CC"/>
    <w:rsid w:val="00DF300C"/>
    <w:rsid w:val="00DF337A"/>
    <w:rsid w:val="00DF3A18"/>
    <w:rsid w:val="00DF5E9B"/>
    <w:rsid w:val="00DF6006"/>
    <w:rsid w:val="00DF6BFE"/>
    <w:rsid w:val="00DF7E6F"/>
    <w:rsid w:val="00E00314"/>
    <w:rsid w:val="00E01B58"/>
    <w:rsid w:val="00E053E2"/>
    <w:rsid w:val="00E06933"/>
    <w:rsid w:val="00E07ECF"/>
    <w:rsid w:val="00E1083E"/>
    <w:rsid w:val="00E10C32"/>
    <w:rsid w:val="00E1259D"/>
    <w:rsid w:val="00E12825"/>
    <w:rsid w:val="00E14C4C"/>
    <w:rsid w:val="00E14FD6"/>
    <w:rsid w:val="00E16E95"/>
    <w:rsid w:val="00E205C6"/>
    <w:rsid w:val="00E20625"/>
    <w:rsid w:val="00E20E6A"/>
    <w:rsid w:val="00E21020"/>
    <w:rsid w:val="00E217E9"/>
    <w:rsid w:val="00E240DE"/>
    <w:rsid w:val="00E2643A"/>
    <w:rsid w:val="00E27953"/>
    <w:rsid w:val="00E27D49"/>
    <w:rsid w:val="00E40D09"/>
    <w:rsid w:val="00E43F41"/>
    <w:rsid w:val="00E442B8"/>
    <w:rsid w:val="00E46CA5"/>
    <w:rsid w:val="00E52B46"/>
    <w:rsid w:val="00E53B85"/>
    <w:rsid w:val="00E54DA8"/>
    <w:rsid w:val="00E558F4"/>
    <w:rsid w:val="00E55927"/>
    <w:rsid w:val="00E55F6F"/>
    <w:rsid w:val="00E5728E"/>
    <w:rsid w:val="00E575CB"/>
    <w:rsid w:val="00E60067"/>
    <w:rsid w:val="00E6054A"/>
    <w:rsid w:val="00E614AC"/>
    <w:rsid w:val="00E618ED"/>
    <w:rsid w:val="00E663C1"/>
    <w:rsid w:val="00E667CF"/>
    <w:rsid w:val="00E67650"/>
    <w:rsid w:val="00E67BA3"/>
    <w:rsid w:val="00E72140"/>
    <w:rsid w:val="00E72C7F"/>
    <w:rsid w:val="00E738CD"/>
    <w:rsid w:val="00E76FCC"/>
    <w:rsid w:val="00E77D6F"/>
    <w:rsid w:val="00E82960"/>
    <w:rsid w:val="00E82D08"/>
    <w:rsid w:val="00E82FDF"/>
    <w:rsid w:val="00E86944"/>
    <w:rsid w:val="00E91409"/>
    <w:rsid w:val="00E91CD4"/>
    <w:rsid w:val="00E95641"/>
    <w:rsid w:val="00E95DF0"/>
    <w:rsid w:val="00E97FF1"/>
    <w:rsid w:val="00EA080F"/>
    <w:rsid w:val="00EA1A90"/>
    <w:rsid w:val="00EA292D"/>
    <w:rsid w:val="00EA4100"/>
    <w:rsid w:val="00EA4820"/>
    <w:rsid w:val="00EA596A"/>
    <w:rsid w:val="00EA6205"/>
    <w:rsid w:val="00EB1269"/>
    <w:rsid w:val="00EB43C8"/>
    <w:rsid w:val="00EB485A"/>
    <w:rsid w:val="00EB51F4"/>
    <w:rsid w:val="00EB5E8E"/>
    <w:rsid w:val="00EC13E3"/>
    <w:rsid w:val="00EC1ED5"/>
    <w:rsid w:val="00EC3352"/>
    <w:rsid w:val="00EC413A"/>
    <w:rsid w:val="00EC47D9"/>
    <w:rsid w:val="00EC534E"/>
    <w:rsid w:val="00EC6B77"/>
    <w:rsid w:val="00EC6CC8"/>
    <w:rsid w:val="00EC71C7"/>
    <w:rsid w:val="00EC79DC"/>
    <w:rsid w:val="00ED1A09"/>
    <w:rsid w:val="00ED1EAC"/>
    <w:rsid w:val="00ED534E"/>
    <w:rsid w:val="00ED5F44"/>
    <w:rsid w:val="00ED7818"/>
    <w:rsid w:val="00ED7E56"/>
    <w:rsid w:val="00EE05FA"/>
    <w:rsid w:val="00EE2BAA"/>
    <w:rsid w:val="00EE3B36"/>
    <w:rsid w:val="00EE5765"/>
    <w:rsid w:val="00EE6E21"/>
    <w:rsid w:val="00EE797C"/>
    <w:rsid w:val="00EF0C3B"/>
    <w:rsid w:val="00EF1242"/>
    <w:rsid w:val="00EF12B4"/>
    <w:rsid w:val="00EF1617"/>
    <w:rsid w:val="00EF2A58"/>
    <w:rsid w:val="00EF2DD8"/>
    <w:rsid w:val="00EF4199"/>
    <w:rsid w:val="00EF5F18"/>
    <w:rsid w:val="00F0022C"/>
    <w:rsid w:val="00F00782"/>
    <w:rsid w:val="00F04D97"/>
    <w:rsid w:val="00F05C31"/>
    <w:rsid w:val="00F06C03"/>
    <w:rsid w:val="00F0707D"/>
    <w:rsid w:val="00F07402"/>
    <w:rsid w:val="00F101E6"/>
    <w:rsid w:val="00F11B91"/>
    <w:rsid w:val="00F11E2E"/>
    <w:rsid w:val="00F157AD"/>
    <w:rsid w:val="00F16558"/>
    <w:rsid w:val="00F20BDE"/>
    <w:rsid w:val="00F21920"/>
    <w:rsid w:val="00F30D9C"/>
    <w:rsid w:val="00F32A53"/>
    <w:rsid w:val="00F35A01"/>
    <w:rsid w:val="00F35E08"/>
    <w:rsid w:val="00F36662"/>
    <w:rsid w:val="00F36B0D"/>
    <w:rsid w:val="00F43D96"/>
    <w:rsid w:val="00F44B3E"/>
    <w:rsid w:val="00F4643A"/>
    <w:rsid w:val="00F47C0F"/>
    <w:rsid w:val="00F50503"/>
    <w:rsid w:val="00F518BC"/>
    <w:rsid w:val="00F51DA4"/>
    <w:rsid w:val="00F52569"/>
    <w:rsid w:val="00F55C7A"/>
    <w:rsid w:val="00F55CC7"/>
    <w:rsid w:val="00F60223"/>
    <w:rsid w:val="00F62DD1"/>
    <w:rsid w:val="00F63615"/>
    <w:rsid w:val="00F65037"/>
    <w:rsid w:val="00F700AF"/>
    <w:rsid w:val="00F74833"/>
    <w:rsid w:val="00F74C30"/>
    <w:rsid w:val="00F74FFF"/>
    <w:rsid w:val="00F8129F"/>
    <w:rsid w:val="00F8147E"/>
    <w:rsid w:val="00F81C04"/>
    <w:rsid w:val="00F84B66"/>
    <w:rsid w:val="00F8689C"/>
    <w:rsid w:val="00F91D8B"/>
    <w:rsid w:val="00F938EB"/>
    <w:rsid w:val="00FA0B0B"/>
    <w:rsid w:val="00FA2A32"/>
    <w:rsid w:val="00FA2DD6"/>
    <w:rsid w:val="00FA46F7"/>
    <w:rsid w:val="00FA7F44"/>
    <w:rsid w:val="00FB6298"/>
    <w:rsid w:val="00FC00EF"/>
    <w:rsid w:val="00FC0BAC"/>
    <w:rsid w:val="00FC0BD2"/>
    <w:rsid w:val="00FC1464"/>
    <w:rsid w:val="00FC1667"/>
    <w:rsid w:val="00FC551A"/>
    <w:rsid w:val="00FC5B4F"/>
    <w:rsid w:val="00FC6AE8"/>
    <w:rsid w:val="00FD08D5"/>
    <w:rsid w:val="00FD0C88"/>
    <w:rsid w:val="00FD0CA2"/>
    <w:rsid w:val="00FD31D9"/>
    <w:rsid w:val="00FD34E8"/>
    <w:rsid w:val="00FD6272"/>
    <w:rsid w:val="00FD637F"/>
    <w:rsid w:val="00FE06D8"/>
    <w:rsid w:val="00FE0EE2"/>
    <w:rsid w:val="00FE0FF4"/>
    <w:rsid w:val="00FE5070"/>
    <w:rsid w:val="00FE7457"/>
    <w:rsid w:val="00FF1255"/>
    <w:rsid w:val="00FF1404"/>
    <w:rsid w:val="00FF15B5"/>
    <w:rsid w:val="00FF31C4"/>
    <w:rsid w:val="00FF3A7F"/>
    <w:rsid w:val="00FF49EF"/>
    <w:rsid w:val="00FF4EFE"/>
    <w:rsid w:val="00FF5BDB"/>
    <w:rsid w:val="00FF665C"/>
    <w:rsid w:val="00FF6D53"/>
    <w:rsid w:val="00FF7BFC"/>
    <w:rsid w:val="011E5588"/>
    <w:rsid w:val="013C2A94"/>
    <w:rsid w:val="014D08BA"/>
    <w:rsid w:val="018808D3"/>
    <w:rsid w:val="01CE1158"/>
    <w:rsid w:val="01DE2EAC"/>
    <w:rsid w:val="01EB7BB3"/>
    <w:rsid w:val="02015B8B"/>
    <w:rsid w:val="023512AC"/>
    <w:rsid w:val="034509A8"/>
    <w:rsid w:val="03731FD8"/>
    <w:rsid w:val="03EB66FF"/>
    <w:rsid w:val="03F37302"/>
    <w:rsid w:val="04956B5B"/>
    <w:rsid w:val="053B3AC2"/>
    <w:rsid w:val="05591ABB"/>
    <w:rsid w:val="05BC3E87"/>
    <w:rsid w:val="05E47E30"/>
    <w:rsid w:val="06722218"/>
    <w:rsid w:val="076470DD"/>
    <w:rsid w:val="07695F0E"/>
    <w:rsid w:val="078A1B79"/>
    <w:rsid w:val="08C00CB5"/>
    <w:rsid w:val="09537FCD"/>
    <w:rsid w:val="09FC484C"/>
    <w:rsid w:val="0A036698"/>
    <w:rsid w:val="0A171D7D"/>
    <w:rsid w:val="0A26045C"/>
    <w:rsid w:val="0A4779A1"/>
    <w:rsid w:val="0AB74796"/>
    <w:rsid w:val="0ABC5D04"/>
    <w:rsid w:val="0B7955B5"/>
    <w:rsid w:val="0C212243"/>
    <w:rsid w:val="0C7A441E"/>
    <w:rsid w:val="0C8735D3"/>
    <w:rsid w:val="0D685357"/>
    <w:rsid w:val="0D8A7B44"/>
    <w:rsid w:val="0DDB17A8"/>
    <w:rsid w:val="0E9F55E9"/>
    <w:rsid w:val="0FB879FF"/>
    <w:rsid w:val="1029201A"/>
    <w:rsid w:val="107F18F8"/>
    <w:rsid w:val="10833BFB"/>
    <w:rsid w:val="10D13BC0"/>
    <w:rsid w:val="11057066"/>
    <w:rsid w:val="11705A5A"/>
    <w:rsid w:val="11C34A01"/>
    <w:rsid w:val="11E239FB"/>
    <w:rsid w:val="12244214"/>
    <w:rsid w:val="125803BF"/>
    <w:rsid w:val="126E2795"/>
    <w:rsid w:val="1368120B"/>
    <w:rsid w:val="13823099"/>
    <w:rsid w:val="13A44F06"/>
    <w:rsid w:val="13BD02CF"/>
    <w:rsid w:val="13CF6448"/>
    <w:rsid w:val="13F371C9"/>
    <w:rsid w:val="1487546D"/>
    <w:rsid w:val="15636D82"/>
    <w:rsid w:val="161405A7"/>
    <w:rsid w:val="16814048"/>
    <w:rsid w:val="16AF79A6"/>
    <w:rsid w:val="17441ECD"/>
    <w:rsid w:val="174F56FC"/>
    <w:rsid w:val="179A1ABB"/>
    <w:rsid w:val="17A3258C"/>
    <w:rsid w:val="18201EBC"/>
    <w:rsid w:val="187E1D60"/>
    <w:rsid w:val="187E5578"/>
    <w:rsid w:val="18BC3584"/>
    <w:rsid w:val="1AC83EBC"/>
    <w:rsid w:val="1BC33A66"/>
    <w:rsid w:val="1BCE3454"/>
    <w:rsid w:val="1C10147C"/>
    <w:rsid w:val="1C6D2875"/>
    <w:rsid w:val="1C752615"/>
    <w:rsid w:val="1CD52E5D"/>
    <w:rsid w:val="1CF945BF"/>
    <w:rsid w:val="1D964334"/>
    <w:rsid w:val="1DDE0D90"/>
    <w:rsid w:val="1DF65827"/>
    <w:rsid w:val="1DF679B0"/>
    <w:rsid w:val="1F307073"/>
    <w:rsid w:val="1F5F7DFA"/>
    <w:rsid w:val="1FE22933"/>
    <w:rsid w:val="1FEB04B8"/>
    <w:rsid w:val="203D74E8"/>
    <w:rsid w:val="204C400B"/>
    <w:rsid w:val="21084797"/>
    <w:rsid w:val="21364433"/>
    <w:rsid w:val="21C2338E"/>
    <w:rsid w:val="22334080"/>
    <w:rsid w:val="22CA11B4"/>
    <w:rsid w:val="22DA7282"/>
    <w:rsid w:val="22E92475"/>
    <w:rsid w:val="231A26A7"/>
    <w:rsid w:val="238828FB"/>
    <w:rsid w:val="239527EE"/>
    <w:rsid w:val="246440AB"/>
    <w:rsid w:val="24BB3F9B"/>
    <w:rsid w:val="24D02CA5"/>
    <w:rsid w:val="24E11004"/>
    <w:rsid w:val="25522ACB"/>
    <w:rsid w:val="258E263A"/>
    <w:rsid w:val="262E48CB"/>
    <w:rsid w:val="26BB53C1"/>
    <w:rsid w:val="2781780A"/>
    <w:rsid w:val="28144553"/>
    <w:rsid w:val="2840469B"/>
    <w:rsid w:val="28D5077A"/>
    <w:rsid w:val="28D539BF"/>
    <w:rsid w:val="290E70D4"/>
    <w:rsid w:val="294B091E"/>
    <w:rsid w:val="29AA61C4"/>
    <w:rsid w:val="2A726519"/>
    <w:rsid w:val="2B927CDD"/>
    <w:rsid w:val="2BBF03AE"/>
    <w:rsid w:val="2C5F74B6"/>
    <w:rsid w:val="2CE019A4"/>
    <w:rsid w:val="2D3E7F60"/>
    <w:rsid w:val="2D3F4632"/>
    <w:rsid w:val="2D4874D6"/>
    <w:rsid w:val="2D884FBC"/>
    <w:rsid w:val="2DC34F62"/>
    <w:rsid w:val="2E3006AB"/>
    <w:rsid w:val="2E391FB2"/>
    <w:rsid w:val="2E40317F"/>
    <w:rsid w:val="2E550CAA"/>
    <w:rsid w:val="2E5D4B2D"/>
    <w:rsid w:val="2F3022CE"/>
    <w:rsid w:val="2F3D0E4B"/>
    <w:rsid w:val="2F99342B"/>
    <w:rsid w:val="2FB16A4C"/>
    <w:rsid w:val="2FC21A4F"/>
    <w:rsid w:val="308F086D"/>
    <w:rsid w:val="30C25181"/>
    <w:rsid w:val="31F65590"/>
    <w:rsid w:val="325B6E9B"/>
    <w:rsid w:val="334B0EFD"/>
    <w:rsid w:val="33AF4097"/>
    <w:rsid w:val="33D27CEA"/>
    <w:rsid w:val="34317AF3"/>
    <w:rsid w:val="343840C1"/>
    <w:rsid w:val="34955901"/>
    <w:rsid w:val="35155C3F"/>
    <w:rsid w:val="35D35D09"/>
    <w:rsid w:val="35F519E0"/>
    <w:rsid w:val="36305573"/>
    <w:rsid w:val="364D7B52"/>
    <w:rsid w:val="36E9540C"/>
    <w:rsid w:val="36EA22FD"/>
    <w:rsid w:val="36FB3C60"/>
    <w:rsid w:val="372530AA"/>
    <w:rsid w:val="376952E8"/>
    <w:rsid w:val="377D1AC2"/>
    <w:rsid w:val="37853819"/>
    <w:rsid w:val="385A40B0"/>
    <w:rsid w:val="389D5519"/>
    <w:rsid w:val="38A17911"/>
    <w:rsid w:val="39106D32"/>
    <w:rsid w:val="39812B9C"/>
    <w:rsid w:val="39BE5B45"/>
    <w:rsid w:val="3A157719"/>
    <w:rsid w:val="3A8854C8"/>
    <w:rsid w:val="3AA416D8"/>
    <w:rsid w:val="3B6D01EF"/>
    <w:rsid w:val="3BC23206"/>
    <w:rsid w:val="3C211046"/>
    <w:rsid w:val="3C745E6F"/>
    <w:rsid w:val="3D3D7D6E"/>
    <w:rsid w:val="3D793666"/>
    <w:rsid w:val="3E25441F"/>
    <w:rsid w:val="3E2924AC"/>
    <w:rsid w:val="3E3C3D7D"/>
    <w:rsid w:val="3E6E057B"/>
    <w:rsid w:val="3E975FCC"/>
    <w:rsid w:val="3F215910"/>
    <w:rsid w:val="3FD20361"/>
    <w:rsid w:val="3FED1941"/>
    <w:rsid w:val="40510C3E"/>
    <w:rsid w:val="41376576"/>
    <w:rsid w:val="415A2989"/>
    <w:rsid w:val="418E44CC"/>
    <w:rsid w:val="41AF466F"/>
    <w:rsid w:val="42301060"/>
    <w:rsid w:val="42B4566E"/>
    <w:rsid w:val="42B746AD"/>
    <w:rsid w:val="42E85E47"/>
    <w:rsid w:val="43B35FE0"/>
    <w:rsid w:val="43C35F50"/>
    <w:rsid w:val="440D2A75"/>
    <w:rsid w:val="442A1F36"/>
    <w:rsid w:val="451B61B8"/>
    <w:rsid w:val="456934A1"/>
    <w:rsid w:val="459241A8"/>
    <w:rsid w:val="46E66E54"/>
    <w:rsid w:val="46F02505"/>
    <w:rsid w:val="47246007"/>
    <w:rsid w:val="47904D1B"/>
    <w:rsid w:val="47A32EB0"/>
    <w:rsid w:val="487B5FC8"/>
    <w:rsid w:val="48B96674"/>
    <w:rsid w:val="4A045E75"/>
    <w:rsid w:val="4A101B80"/>
    <w:rsid w:val="4AB76528"/>
    <w:rsid w:val="4C1A0F84"/>
    <w:rsid w:val="4E2F4C1E"/>
    <w:rsid w:val="4E341F53"/>
    <w:rsid w:val="4E486A5A"/>
    <w:rsid w:val="4E6D5C7B"/>
    <w:rsid w:val="4F200559"/>
    <w:rsid w:val="4F4C5B80"/>
    <w:rsid w:val="4F965F14"/>
    <w:rsid w:val="4FEB2110"/>
    <w:rsid w:val="4FF334A9"/>
    <w:rsid w:val="4FFC43A9"/>
    <w:rsid w:val="50121BE9"/>
    <w:rsid w:val="50824921"/>
    <w:rsid w:val="50DF0382"/>
    <w:rsid w:val="51334F05"/>
    <w:rsid w:val="51A82B4E"/>
    <w:rsid w:val="51F73987"/>
    <w:rsid w:val="524A7CDA"/>
    <w:rsid w:val="52E61B8D"/>
    <w:rsid w:val="52F966DA"/>
    <w:rsid w:val="53B77999"/>
    <w:rsid w:val="53CA0630"/>
    <w:rsid w:val="5414236D"/>
    <w:rsid w:val="543102F4"/>
    <w:rsid w:val="54525414"/>
    <w:rsid w:val="55273A1F"/>
    <w:rsid w:val="553B29AC"/>
    <w:rsid w:val="56120665"/>
    <w:rsid w:val="569A48EB"/>
    <w:rsid w:val="575D413B"/>
    <w:rsid w:val="57B85C05"/>
    <w:rsid w:val="57C916D1"/>
    <w:rsid w:val="581778BE"/>
    <w:rsid w:val="58EF7419"/>
    <w:rsid w:val="599D6A92"/>
    <w:rsid w:val="59AB5F72"/>
    <w:rsid w:val="59EA6770"/>
    <w:rsid w:val="5B885127"/>
    <w:rsid w:val="5BA2195F"/>
    <w:rsid w:val="5BD54E94"/>
    <w:rsid w:val="5C1339F6"/>
    <w:rsid w:val="5C7F640E"/>
    <w:rsid w:val="5C9337A9"/>
    <w:rsid w:val="5CB44F9D"/>
    <w:rsid w:val="5D5B078C"/>
    <w:rsid w:val="5D6849B9"/>
    <w:rsid w:val="5DCE726B"/>
    <w:rsid w:val="5E12520C"/>
    <w:rsid w:val="5E15694D"/>
    <w:rsid w:val="5E285170"/>
    <w:rsid w:val="5E7F5790"/>
    <w:rsid w:val="5EE8245B"/>
    <w:rsid w:val="5FCC6DD9"/>
    <w:rsid w:val="600E02BD"/>
    <w:rsid w:val="608D65FA"/>
    <w:rsid w:val="60FA7C98"/>
    <w:rsid w:val="60FC5412"/>
    <w:rsid w:val="61551E82"/>
    <w:rsid w:val="616D470A"/>
    <w:rsid w:val="61F44265"/>
    <w:rsid w:val="62AD0D2A"/>
    <w:rsid w:val="62D17A97"/>
    <w:rsid w:val="62E302DA"/>
    <w:rsid w:val="62E36775"/>
    <w:rsid w:val="630C6C88"/>
    <w:rsid w:val="6319218C"/>
    <w:rsid w:val="633717E1"/>
    <w:rsid w:val="633A1DB9"/>
    <w:rsid w:val="637B4C21"/>
    <w:rsid w:val="63870CAE"/>
    <w:rsid w:val="64371F84"/>
    <w:rsid w:val="649977A8"/>
    <w:rsid w:val="64F47B8C"/>
    <w:rsid w:val="652A3E46"/>
    <w:rsid w:val="653A4639"/>
    <w:rsid w:val="654D2574"/>
    <w:rsid w:val="65742FD7"/>
    <w:rsid w:val="659169F6"/>
    <w:rsid w:val="65916BD4"/>
    <w:rsid w:val="65AF6665"/>
    <w:rsid w:val="65D6169D"/>
    <w:rsid w:val="663445B8"/>
    <w:rsid w:val="665A52BB"/>
    <w:rsid w:val="67797EDF"/>
    <w:rsid w:val="67E17688"/>
    <w:rsid w:val="67EC06C4"/>
    <w:rsid w:val="67F44DDF"/>
    <w:rsid w:val="68A5439A"/>
    <w:rsid w:val="69691464"/>
    <w:rsid w:val="69FB1135"/>
    <w:rsid w:val="6A540BC3"/>
    <w:rsid w:val="6AE649D9"/>
    <w:rsid w:val="6B184DAC"/>
    <w:rsid w:val="6BD63C69"/>
    <w:rsid w:val="6BD75E98"/>
    <w:rsid w:val="6BFE1962"/>
    <w:rsid w:val="6C9468E8"/>
    <w:rsid w:val="6D2307F0"/>
    <w:rsid w:val="6DC372CC"/>
    <w:rsid w:val="6DDB11A6"/>
    <w:rsid w:val="6DFA45EF"/>
    <w:rsid w:val="6E182E27"/>
    <w:rsid w:val="6E6038A8"/>
    <w:rsid w:val="6E8A0E7D"/>
    <w:rsid w:val="6F5E3698"/>
    <w:rsid w:val="700964DC"/>
    <w:rsid w:val="70121F93"/>
    <w:rsid w:val="704763FB"/>
    <w:rsid w:val="70FD0E1F"/>
    <w:rsid w:val="714F757D"/>
    <w:rsid w:val="718674D1"/>
    <w:rsid w:val="71950BC9"/>
    <w:rsid w:val="723579A0"/>
    <w:rsid w:val="72A13B25"/>
    <w:rsid w:val="73141A12"/>
    <w:rsid w:val="733645F3"/>
    <w:rsid w:val="73412E9F"/>
    <w:rsid w:val="739212CE"/>
    <w:rsid w:val="741040A5"/>
    <w:rsid w:val="74210110"/>
    <w:rsid w:val="743267EF"/>
    <w:rsid w:val="74616E0C"/>
    <w:rsid w:val="74742C3E"/>
    <w:rsid w:val="748304C5"/>
    <w:rsid w:val="74A81291"/>
    <w:rsid w:val="74D9215A"/>
    <w:rsid w:val="75026A85"/>
    <w:rsid w:val="759E2B6C"/>
    <w:rsid w:val="75DE4F81"/>
    <w:rsid w:val="761C0022"/>
    <w:rsid w:val="76655126"/>
    <w:rsid w:val="768F0352"/>
    <w:rsid w:val="76A17719"/>
    <w:rsid w:val="777356FA"/>
    <w:rsid w:val="785A5E35"/>
    <w:rsid w:val="78951885"/>
    <w:rsid w:val="79267156"/>
    <w:rsid w:val="795C23C8"/>
    <w:rsid w:val="796D63E8"/>
    <w:rsid w:val="79B920B6"/>
    <w:rsid w:val="79C63EFB"/>
    <w:rsid w:val="79E72735"/>
    <w:rsid w:val="7A8A04C6"/>
    <w:rsid w:val="7A912B94"/>
    <w:rsid w:val="7AE376DD"/>
    <w:rsid w:val="7B1320D2"/>
    <w:rsid w:val="7BB80CA9"/>
    <w:rsid w:val="7C2B4AC7"/>
    <w:rsid w:val="7C502CFC"/>
    <w:rsid w:val="7C6D37F8"/>
    <w:rsid w:val="7CF82EEA"/>
    <w:rsid w:val="7D582D40"/>
    <w:rsid w:val="7DAC3468"/>
    <w:rsid w:val="7DAC3BD6"/>
    <w:rsid w:val="7DB12BB2"/>
    <w:rsid w:val="7DC52BFD"/>
    <w:rsid w:val="7DCF1DD1"/>
    <w:rsid w:val="7E1659C5"/>
    <w:rsid w:val="7E213DD9"/>
    <w:rsid w:val="7E233A53"/>
    <w:rsid w:val="7E544446"/>
    <w:rsid w:val="7EAE20CE"/>
    <w:rsid w:val="7EAF76CF"/>
    <w:rsid w:val="7ECC3D18"/>
    <w:rsid w:val="7F4A4D43"/>
    <w:rsid w:val="7F9807D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28"/>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beforeLines="0" w:beforeAutospacing="0" w:afterLines="0" w:afterAutospacing="0" w:line="576" w:lineRule="exact"/>
      <w:outlineLvl w:val="1"/>
    </w:pPr>
    <w:rPr>
      <w:rFonts w:ascii="Arial" w:hAnsi="Arial" w:eastAsia="黑体"/>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topLinePunct w:val="0"/>
      <w:adjustRightInd/>
      <w:spacing w:line="420" w:lineRule="exact"/>
      <w:ind w:firstLine="0"/>
      <w:jc w:val="center"/>
      <w:textAlignment w:val="center"/>
    </w:pPr>
    <w:rPr>
      <w:rFonts w:eastAsia="宋体"/>
      <w:kern w:val="2"/>
      <w:sz w:val="21"/>
    </w:rPr>
  </w:style>
  <w:style w:type="paragraph" w:styleId="5">
    <w:name w:val="index 8"/>
    <w:basedOn w:val="1"/>
    <w:next w:val="1"/>
    <w:unhideWhenUsed/>
    <w:qFormat/>
    <w:uiPriority w:val="99"/>
    <w:pPr>
      <w:ind w:left="2940"/>
      <w:jc w:val="center"/>
    </w:pPr>
  </w:style>
  <w:style w:type="paragraph" w:styleId="6">
    <w:name w:val="annotation text"/>
    <w:basedOn w:val="1"/>
    <w:qFormat/>
    <w:uiPriority w:val="0"/>
    <w:pPr>
      <w:jc w:val="left"/>
    </w:pPr>
  </w:style>
  <w:style w:type="paragraph" w:styleId="7">
    <w:name w:val="Body Text Indent"/>
    <w:basedOn w:val="1"/>
    <w:next w:val="8"/>
    <w:unhideWhenUsed/>
    <w:qFormat/>
    <w:uiPriority w:val="99"/>
    <w:pPr>
      <w:spacing w:line="360" w:lineRule="auto"/>
      <w:ind w:firstLine="640" w:firstLineChars="200"/>
    </w:pPr>
    <w:rPr>
      <w:rFonts w:ascii="仿宋_GB2312" w:hAnsi="宋体" w:eastAsia="仿宋_GB2312" w:cs="Times New Roman"/>
      <w:snapToGrid w:val="0"/>
      <w:kern w:val="0"/>
      <w:sz w:val="32"/>
      <w:szCs w:val="20"/>
    </w:rPr>
  </w:style>
  <w:style w:type="paragraph" w:styleId="8">
    <w:name w:val="envelope return"/>
    <w:basedOn w:val="1"/>
    <w:qFormat/>
    <w:uiPriority w:val="0"/>
    <w:pPr>
      <w:snapToGrid w:val="0"/>
    </w:pPr>
    <w:rPr>
      <w:rFonts w:ascii="Arial" w:hAnsi="Arial"/>
    </w:rPr>
  </w:style>
  <w:style w:type="paragraph" w:styleId="9">
    <w:name w:val="Date"/>
    <w:basedOn w:val="1"/>
    <w:next w:val="1"/>
    <w:link w:val="20"/>
    <w:qFormat/>
    <w:uiPriority w:val="0"/>
    <w:pPr>
      <w:ind w:left="100" w:leftChars="2500"/>
    </w:pPr>
  </w:style>
  <w:style w:type="paragraph" w:styleId="10">
    <w:name w:val="Balloon Text"/>
    <w:basedOn w:val="1"/>
    <w:semiHidden/>
    <w:qFormat/>
    <w:uiPriority w:val="0"/>
    <w:rPr>
      <w:rFonts w:ascii="Times New Roman" w:hAnsi="Times New Roman"/>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3">
    <w:name w:val="Title"/>
    <w:basedOn w:val="1"/>
    <w:next w:val="1"/>
    <w:qFormat/>
    <w:uiPriority w:val="0"/>
    <w:pPr>
      <w:spacing w:before="240" w:after="60"/>
      <w:jc w:val="center"/>
      <w:outlineLvl w:val="0"/>
    </w:pPr>
    <w:rPr>
      <w:rFonts w:ascii="Cambria" w:hAnsi="Cambria" w:eastAsia="宋体"/>
      <w:b/>
      <w:bCs/>
      <w:sz w:val="32"/>
      <w:szCs w:val="32"/>
    </w:rPr>
  </w:style>
  <w:style w:type="paragraph" w:styleId="14">
    <w:name w:val="Body Text First Indent 2"/>
    <w:basedOn w:val="7"/>
    <w:next w:val="1"/>
    <w:qFormat/>
    <w:uiPriority w:val="0"/>
    <w:pPr>
      <w:widowControl w:val="0"/>
      <w:spacing w:line="240" w:lineRule="auto"/>
      <w:ind w:left="0" w:leftChars="0" w:firstLine="420" w:firstLineChars="0"/>
    </w:pPr>
    <w:rPr>
      <w:szCs w:val="24"/>
    </w:rPr>
  </w:style>
  <w:style w:type="character" w:styleId="17">
    <w:name w:val="page number"/>
    <w:basedOn w:val="16"/>
    <w:qFormat/>
    <w:uiPriority w:val="0"/>
  </w:style>
  <w:style w:type="character" w:styleId="18">
    <w:name w:val="Hyperlink"/>
    <w:basedOn w:val="16"/>
    <w:qFormat/>
    <w:uiPriority w:val="0"/>
    <w:rPr>
      <w:color w:val="0000FF"/>
      <w:u w:val="single"/>
    </w:rPr>
  </w:style>
  <w:style w:type="paragraph" w:customStyle="1" w:styleId="19">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20">
    <w:name w:val="日期 Char"/>
    <w:basedOn w:val="16"/>
    <w:link w:val="9"/>
    <w:qFormat/>
    <w:uiPriority w:val="0"/>
    <w:rPr>
      <w:rFonts w:ascii="宋体" w:hAnsi="宋体"/>
      <w:kern w:val="2"/>
      <w:sz w:val="28"/>
      <w:szCs w:val="24"/>
    </w:rPr>
  </w:style>
  <w:style w:type="character" w:customStyle="1" w:styleId="21">
    <w:name w:val="页眉 Char"/>
    <w:basedOn w:val="16"/>
    <w:link w:val="12"/>
    <w:qFormat/>
    <w:uiPriority w:val="0"/>
    <w:rPr>
      <w:rFonts w:ascii="宋体" w:hAnsi="宋体"/>
      <w:kern w:val="2"/>
      <w:sz w:val="18"/>
      <w:szCs w:val="18"/>
    </w:rPr>
  </w:style>
  <w:style w:type="character" w:customStyle="1" w:styleId="22">
    <w:name w:val="txtcontent11"/>
    <w:basedOn w:val="16"/>
    <w:qFormat/>
    <w:uiPriority w:val="0"/>
    <w:rPr>
      <w:rFonts w:hint="default" w:ascii="ˎ̥" w:hAnsi="ˎ̥"/>
      <w:color w:val="000000"/>
      <w:sz w:val="21"/>
      <w:szCs w:val="21"/>
    </w:rPr>
  </w:style>
  <w:style w:type="character" w:customStyle="1" w:styleId="23">
    <w:name w:val="正文格式 Char"/>
    <w:basedOn w:val="16"/>
    <w:link w:val="24"/>
    <w:qFormat/>
    <w:uiPriority w:val="0"/>
    <w:rPr>
      <w:rFonts w:ascii="仿宋_GB2312" w:eastAsia="仿宋_GB2312"/>
      <w:kern w:val="2"/>
      <w:sz w:val="28"/>
      <w:szCs w:val="28"/>
      <w:lang w:val="en-US" w:eastAsia="zh-CN" w:bidi="ar-SA"/>
    </w:rPr>
  </w:style>
  <w:style w:type="paragraph" w:customStyle="1" w:styleId="24">
    <w:name w:val="正文格式"/>
    <w:basedOn w:val="1"/>
    <w:link w:val="23"/>
    <w:qFormat/>
    <w:uiPriority w:val="0"/>
    <w:pPr>
      <w:ind w:firstLine="560" w:firstLineChars="200"/>
    </w:pPr>
    <w:rPr>
      <w:rFonts w:ascii="仿宋_GB2312" w:hAnsi="Times New Roman" w:eastAsia="仿宋_GB2312"/>
      <w:szCs w:val="28"/>
    </w:rPr>
  </w:style>
  <w:style w:type="paragraph" w:customStyle="1" w:styleId="25">
    <w:name w:val="11年报正文11"/>
    <w:basedOn w:val="1"/>
    <w:qFormat/>
    <w:uiPriority w:val="99"/>
    <w:pPr>
      <w:spacing w:before="40" w:after="40" w:line="400" w:lineRule="exact"/>
      <w:ind w:firstLine="480" w:firstLineChars="200"/>
      <w:textAlignment w:val="center"/>
    </w:pPr>
    <w:rPr>
      <w:rFonts w:cs="宋体"/>
      <w:sz w:val="24"/>
    </w:rPr>
  </w:style>
  <w:style w:type="paragraph" w:customStyle="1" w:styleId="26">
    <w:name w:val="附件"/>
    <w:basedOn w:val="24"/>
    <w:qFormat/>
    <w:uiPriority w:val="0"/>
    <w:pPr>
      <w:spacing w:line="586" w:lineRule="exact"/>
      <w:ind w:firstLine="0" w:firstLineChars="0"/>
      <w:jc w:val="center"/>
    </w:pPr>
    <w:rPr>
      <w:rFonts w:ascii="黑体" w:hAnsi="宋体" w:eastAsia="黑体"/>
      <w:b/>
      <w:color w:val="000000"/>
      <w:sz w:val="36"/>
      <w:szCs w:val="36"/>
    </w:rPr>
  </w:style>
  <w:style w:type="paragraph" w:customStyle="1" w:styleId="27">
    <w:name w:val="附件1"/>
    <w:basedOn w:val="1"/>
    <w:qFormat/>
    <w:uiPriority w:val="0"/>
    <w:pPr>
      <w:textAlignment w:val="center"/>
    </w:pPr>
    <w:rPr>
      <w:rFonts w:ascii="黑体" w:hAnsi="黑体" w:eastAsia="黑体" w:cs="宋体"/>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CYDL</Company>
  <Pages>3</Pages>
  <Words>407</Words>
  <Characters>2320</Characters>
  <Lines>19</Lines>
  <Paragraphs>5</Paragraphs>
  <TotalTime>9</TotalTime>
  <ScaleCrop>false</ScaleCrop>
  <LinksUpToDate>false</LinksUpToDate>
  <CharactersWithSpaces>2722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2016-04-19T09:27:00Z</dcterms:created>
  <dc:creator>胡谦/国电长源电力股份有限公司</dc:creator>
  <cp:lastModifiedBy>叶建兵</cp:lastModifiedBy>
  <cp:lastPrinted>2012-04-10T00:01:00Z</cp:lastPrinted>
  <dcterms:modified xsi:type="dcterms:W3CDTF">2025-08-22T04:17:04Z</dcterms:modified>
  <dc:title>证券代码：000966        证券简称：长源电力        公告编号：2011－00</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8D83663BBD034F4EA6A4017611CB415C</vt:lpwstr>
  </property>
</Properties>
</file>