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ind w:right="-58"/>
        <w:jc w:val="left"/>
        <w:rPr>
          <w:rFonts w:hint="default" w:ascii="Times New Roman" w:hAnsi="Times New Roman" w:eastAsia="宋体" w:cs="Times New Roman"/>
          <w:bCs/>
          <w:spacing w:val="1"/>
          <w:kern w:val="0"/>
          <w:sz w:val="24"/>
          <w:szCs w:val="24"/>
          <w:lang w:val="en-US" w:eastAsia="zh-CN"/>
        </w:rPr>
      </w:pPr>
      <w:r>
        <w:rPr>
          <w:rFonts w:hint="default" w:ascii="Times New Roman" w:hAnsi="Times New Roman" w:eastAsia="宋体" w:cs="Times New Roman"/>
          <w:bCs/>
          <w:spacing w:val="1"/>
          <w:kern w:val="0"/>
          <w:sz w:val="24"/>
          <w:szCs w:val="24"/>
        </w:rPr>
        <w:t>证券代码：000966         证券简称：长源电力        公告编号：2025-</w:t>
      </w:r>
      <w:r>
        <w:rPr>
          <w:rFonts w:hint="default" w:ascii="Times New Roman" w:hAnsi="Times New Roman" w:eastAsia="宋体" w:cs="Times New Roman"/>
          <w:bCs/>
          <w:spacing w:val="1"/>
          <w:kern w:val="0"/>
          <w:sz w:val="24"/>
          <w:szCs w:val="24"/>
          <w:lang w:val="en-US" w:eastAsia="zh-CN"/>
        </w:rPr>
        <w:t>041</w:t>
      </w:r>
    </w:p>
    <w:p>
      <w:pPr>
        <w:autoSpaceDE w:val="0"/>
        <w:autoSpaceDN w:val="0"/>
        <w:adjustRightInd w:val="0"/>
        <w:snapToGrid w:val="0"/>
        <w:spacing w:line="440" w:lineRule="exact"/>
        <w:ind w:right="-58"/>
        <w:jc w:val="center"/>
        <w:rPr>
          <w:rFonts w:hint="default" w:ascii="Times New Roman" w:hAnsi="Times New Roman" w:eastAsia="宋体" w:cs="Times New Roman"/>
          <w:b/>
          <w:spacing w:val="1"/>
          <w:kern w:val="0"/>
          <w:sz w:val="32"/>
          <w:szCs w:val="32"/>
        </w:rPr>
      </w:pPr>
    </w:p>
    <w:p>
      <w:pPr>
        <w:adjustRightInd w:val="0"/>
        <w:snapToGrid w:val="0"/>
        <w:spacing w:line="44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国家能源集团长源电力股份有限公司</w:t>
      </w:r>
    </w:p>
    <w:p>
      <w:pPr>
        <w:adjustRightInd w:val="0"/>
        <w:snapToGrid w:val="0"/>
        <w:spacing w:line="44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关于向特定对象发行股票部分限售股份解除限售上市流通</w:t>
      </w:r>
    </w:p>
    <w:p>
      <w:pPr>
        <w:adjustRightInd w:val="0"/>
        <w:snapToGrid w:val="0"/>
        <w:spacing w:line="44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的提示性公告</w:t>
      </w:r>
    </w:p>
    <w:p>
      <w:pPr>
        <w:autoSpaceDE w:val="0"/>
        <w:autoSpaceDN w:val="0"/>
        <w:adjustRightInd w:val="0"/>
        <w:snapToGrid w:val="0"/>
        <w:spacing w:line="440" w:lineRule="exact"/>
        <w:ind w:right="-58"/>
        <w:jc w:val="center"/>
        <w:rPr>
          <w:rFonts w:hint="default" w:ascii="Times New Roman" w:hAnsi="Times New Roman" w:eastAsia="宋体" w:cs="Times New Roman"/>
          <w:b/>
          <w:spacing w:val="1"/>
          <w:kern w:val="0"/>
          <w:sz w:val="32"/>
          <w:szCs w:val="32"/>
        </w:rPr>
      </w:pPr>
    </w:p>
    <w:p>
      <w:pPr>
        <w:pBdr>
          <w:top w:val="single" w:color="auto" w:sz="4" w:space="1"/>
          <w:left w:val="single" w:color="auto" w:sz="4" w:space="4"/>
          <w:bottom w:val="single" w:color="auto" w:sz="4" w:space="1"/>
          <w:right w:val="single" w:color="auto" w:sz="4" w:space="4"/>
          <w:between w:val="single" w:color="auto" w:sz="4" w:space="1"/>
        </w:pBdr>
        <w:autoSpaceDE w:val="0"/>
        <w:autoSpaceDN w:val="0"/>
        <w:adjustRightInd w:val="0"/>
        <w:snapToGrid w:val="0"/>
        <w:spacing w:line="400" w:lineRule="exact"/>
        <w:ind w:right="-57"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本公司及董事会全体成员保证信息披露的内容真实、准确、完整，没有虚假记载、误导性陈述或重大遗漏。</w:t>
      </w:r>
    </w:p>
    <w:p>
      <w:pPr>
        <w:spacing w:line="380" w:lineRule="exact"/>
        <w:rPr>
          <w:rFonts w:hint="default" w:ascii="Times New Roman" w:hAnsi="Times New Roman" w:eastAsia="宋体" w:cs="Times New Roman"/>
          <w:b/>
          <w:bCs/>
          <w:kern w:val="0"/>
          <w:sz w:val="24"/>
        </w:rPr>
      </w:pPr>
    </w:p>
    <w:p>
      <w:pPr>
        <w:spacing w:line="380" w:lineRule="exact"/>
        <w:ind w:firstLine="482" w:firstLineChars="200"/>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特别提示：</w:t>
      </w:r>
    </w:p>
    <w:p>
      <w:pPr>
        <w:pStyle w:val="17"/>
        <w:spacing w:line="380" w:lineRule="exact"/>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1</w:t>
      </w:r>
      <w:r>
        <w:rPr>
          <w:rFonts w:hint="eastAsia" w:cs="Times New Roman"/>
          <w:sz w:val="24"/>
          <w:lang w:val="en-US" w:eastAsia="zh-CN"/>
        </w:rPr>
        <w:t xml:space="preserve">. </w:t>
      </w:r>
      <w:r>
        <w:rPr>
          <w:rFonts w:hint="default" w:ascii="Times New Roman" w:hAnsi="Times New Roman" w:eastAsia="宋体" w:cs="Times New Roman"/>
          <w:sz w:val="24"/>
        </w:rPr>
        <w:t>本次解除限售股</w:t>
      </w:r>
      <w:r>
        <w:rPr>
          <w:rFonts w:hint="eastAsia" w:cs="Times New Roman"/>
          <w:sz w:val="24"/>
          <w:lang w:val="en-US" w:eastAsia="zh-CN"/>
        </w:rPr>
        <w:t>份</w:t>
      </w:r>
      <w:r>
        <w:rPr>
          <w:rFonts w:hint="default" w:ascii="Times New Roman" w:hAnsi="Times New Roman" w:eastAsia="宋体" w:cs="Times New Roman"/>
          <w:sz w:val="24"/>
        </w:rPr>
        <w:t>为公司向特定对象发行</w:t>
      </w:r>
      <w:r>
        <w:rPr>
          <w:rFonts w:hint="eastAsia" w:cs="Times New Roman"/>
          <w:sz w:val="24"/>
          <w:lang w:eastAsia="zh-CN"/>
        </w:rPr>
        <w:t>股票</w:t>
      </w:r>
      <w:r>
        <w:rPr>
          <w:rFonts w:hint="default" w:ascii="Times New Roman" w:hAnsi="Times New Roman" w:eastAsia="宋体" w:cs="Times New Roman"/>
          <w:sz w:val="24"/>
        </w:rPr>
        <w:t>的</w:t>
      </w:r>
      <w:r>
        <w:rPr>
          <w:rFonts w:hint="default" w:ascii="Times New Roman" w:hAnsi="Times New Roman" w:eastAsia="宋体" w:cs="Times New Roman"/>
          <w:sz w:val="24"/>
          <w:lang w:val="en-US" w:eastAsia="zh-CN"/>
        </w:rPr>
        <w:t>部分</w:t>
      </w:r>
      <w:r>
        <w:rPr>
          <w:rFonts w:hint="default" w:ascii="Times New Roman" w:hAnsi="Times New Roman" w:eastAsia="宋体" w:cs="Times New Roman"/>
          <w:sz w:val="24"/>
        </w:rPr>
        <w:t>股份，解除限售股份数量为512,195,121股，占公司总股本3,481,035,016股的14.71%</w:t>
      </w:r>
      <w:r>
        <w:rPr>
          <w:rFonts w:hint="eastAsia" w:cs="Times New Roman"/>
          <w:color w:val="000000"/>
          <w:sz w:val="24"/>
          <w:szCs w:val="24"/>
          <w:lang w:eastAsia="zh-CN"/>
        </w:rPr>
        <w:t>，</w:t>
      </w:r>
      <w:r>
        <w:rPr>
          <w:rFonts w:hint="eastAsia" w:ascii="Times New Roman" w:hAnsi="Times New Roman" w:eastAsia="宋体"/>
          <w:sz w:val="24"/>
          <w:lang w:eastAsia="zh-CN"/>
        </w:rPr>
        <w:t>占本次</w:t>
      </w:r>
      <w:r>
        <w:rPr>
          <w:rFonts w:hint="eastAsia" w:ascii="Times New Roman" w:hAnsi="Times New Roman" w:eastAsia="宋体"/>
          <w:sz w:val="24"/>
        </w:rPr>
        <w:t>解除限售</w:t>
      </w:r>
      <w:r>
        <w:rPr>
          <w:rFonts w:hint="eastAsia" w:ascii="Times New Roman" w:hAnsi="Times New Roman" w:eastAsia="宋体"/>
          <w:sz w:val="24"/>
          <w:lang w:eastAsia="zh-CN"/>
        </w:rPr>
        <w:t>前</w:t>
      </w:r>
      <w:r>
        <w:rPr>
          <w:rFonts w:hint="eastAsia" w:ascii="Times New Roman" w:hAnsi="Times New Roman" w:eastAsia="宋体"/>
          <w:color w:val="000000"/>
          <w:sz w:val="24"/>
          <w:szCs w:val="24"/>
        </w:rPr>
        <w:t>公司无限售条件股份的</w:t>
      </w:r>
      <w:r>
        <w:rPr>
          <w:rFonts w:hint="eastAsia"/>
          <w:color w:val="000000"/>
          <w:sz w:val="24"/>
          <w:szCs w:val="24"/>
          <w:lang w:val="en-US" w:eastAsia="zh-CN"/>
        </w:rPr>
        <w:t>18.63</w:t>
      </w:r>
      <w:r>
        <w:rPr>
          <w:rFonts w:hint="eastAsia" w:ascii="Times New Roman" w:hAnsi="Times New Roman" w:eastAsia="宋体"/>
          <w:color w:val="000000"/>
          <w:sz w:val="24"/>
          <w:szCs w:val="24"/>
          <w:lang w:val="en-US" w:eastAsia="zh-CN"/>
        </w:rPr>
        <w:t>%，占本次</w:t>
      </w:r>
      <w:r>
        <w:rPr>
          <w:rFonts w:hint="eastAsia" w:ascii="Times New Roman" w:hAnsi="Times New Roman" w:eastAsia="宋体"/>
          <w:sz w:val="24"/>
        </w:rPr>
        <w:t>解除限售</w:t>
      </w:r>
      <w:r>
        <w:rPr>
          <w:rFonts w:hint="eastAsia" w:ascii="Times New Roman" w:hAnsi="Times New Roman" w:eastAsia="宋体"/>
          <w:color w:val="000000"/>
          <w:sz w:val="24"/>
          <w:szCs w:val="24"/>
          <w:lang w:val="en-US" w:eastAsia="zh-CN"/>
        </w:rPr>
        <w:t>后</w:t>
      </w:r>
      <w:r>
        <w:rPr>
          <w:rFonts w:hint="eastAsia" w:ascii="Times New Roman" w:hAnsi="Times New Roman" w:eastAsia="宋体"/>
          <w:color w:val="000000"/>
          <w:sz w:val="24"/>
          <w:szCs w:val="24"/>
        </w:rPr>
        <w:t>公司无限售条件股份的</w:t>
      </w:r>
      <w:r>
        <w:rPr>
          <w:rFonts w:hint="eastAsia"/>
          <w:color w:val="000000"/>
          <w:sz w:val="24"/>
          <w:szCs w:val="24"/>
          <w:lang w:val="en-US" w:eastAsia="zh-CN"/>
        </w:rPr>
        <w:t>15.70</w:t>
      </w:r>
      <w:r>
        <w:rPr>
          <w:rFonts w:hint="eastAsia" w:ascii="Times New Roman" w:hAnsi="Times New Roman" w:eastAsia="宋体"/>
          <w:color w:val="000000"/>
          <w:sz w:val="24"/>
          <w:szCs w:val="24"/>
          <w:lang w:val="en-US" w:eastAsia="zh-CN"/>
        </w:rPr>
        <w:t>%。</w:t>
      </w:r>
    </w:p>
    <w:p>
      <w:pPr>
        <w:pStyle w:val="17"/>
        <w:spacing w:line="380" w:lineRule="exact"/>
        <w:ind w:firstLine="480"/>
        <w:rPr>
          <w:rFonts w:hint="default" w:ascii="Times New Roman" w:hAnsi="Times New Roman" w:cs="Times New Roman"/>
        </w:rPr>
      </w:pPr>
      <w:r>
        <w:rPr>
          <w:rFonts w:hint="default" w:ascii="Times New Roman" w:hAnsi="Times New Roman" w:eastAsia="宋体" w:cs="Times New Roman"/>
          <w:sz w:val="24"/>
        </w:rPr>
        <w:t>2</w:t>
      </w:r>
      <w:r>
        <w:rPr>
          <w:rFonts w:hint="eastAsia" w:cs="Times New Roman"/>
          <w:sz w:val="24"/>
          <w:lang w:val="en-US" w:eastAsia="zh-CN"/>
        </w:rPr>
        <w:t xml:space="preserve">. </w:t>
      </w:r>
      <w:r>
        <w:rPr>
          <w:rFonts w:hint="default" w:ascii="Times New Roman" w:hAnsi="Times New Roman" w:eastAsia="宋体" w:cs="Times New Roman"/>
          <w:sz w:val="24"/>
        </w:rPr>
        <w:t>本次解除限售股份的上市流通日期：2025年6月3日。</w:t>
      </w:r>
    </w:p>
    <w:p>
      <w:pPr>
        <w:spacing w:line="380" w:lineRule="exact"/>
        <w:ind w:firstLine="482" w:firstLineChars="200"/>
        <w:rPr>
          <w:rFonts w:hint="default" w:ascii="Times New Roman" w:hAnsi="Times New Roman" w:eastAsia="宋体" w:cs="Times New Roman"/>
          <w:b/>
          <w:sz w:val="24"/>
          <w:szCs w:val="24"/>
        </w:rPr>
      </w:pPr>
      <w:bookmarkStart w:id="0" w:name="_Hlk198203753"/>
    </w:p>
    <w:p>
      <w:pPr>
        <w:spacing w:line="380" w:lineRule="exact"/>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一、向特定对象发行股票情况</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经中国证监会出具</w:t>
      </w:r>
      <w:r>
        <w:rPr>
          <w:rFonts w:hint="default" w:ascii="Times New Roman" w:hAnsi="Times New Roman" w:eastAsia="宋体" w:cs="Times New Roman"/>
          <w:color w:val="000000"/>
          <w:sz w:val="24"/>
          <w:szCs w:val="24"/>
          <w:lang w:val="en-US" w:eastAsia="zh-CN"/>
        </w:rPr>
        <w:t>的</w:t>
      </w:r>
      <w:r>
        <w:rPr>
          <w:rFonts w:hint="default" w:ascii="Times New Roman" w:hAnsi="Times New Roman" w:eastAsia="宋体" w:cs="Times New Roman"/>
          <w:color w:val="000000"/>
          <w:sz w:val="24"/>
          <w:szCs w:val="24"/>
        </w:rPr>
        <w:t>《关于同意国家能源集团长源电力股份有限公司向特定对象发行股票注册的批复》（证监许可〔2024〕1021号）同意注册，国家能源集团长源电力股份有限公司</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以下简称公司或长源电力）</w:t>
      </w:r>
      <w:r>
        <w:rPr>
          <w:rFonts w:hint="default" w:ascii="Times New Roman" w:hAnsi="Times New Roman" w:eastAsia="宋体" w:cs="Times New Roman"/>
          <w:color w:val="000000"/>
          <w:sz w:val="24"/>
          <w:szCs w:val="24"/>
        </w:rPr>
        <w:t>向特定对象发行人民币普通股（A股）共计731,707,317股，发行价格为4.10元/股，募集资金总额为2,999,999,999.70元。</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本次向特定对象发行股票新增731,707,317股于2024年12月3日上市，其中，</w:t>
      </w:r>
      <w:r>
        <w:rPr>
          <w:rFonts w:hint="default" w:ascii="Times New Roman" w:hAnsi="Times New Roman" w:eastAsia="宋体" w:cs="Times New Roman"/>
          <w:color w:val="000000"/>
          <w:sz w:val="24"/>
          <w:szCs w:val="24"/>
          <w:lang w:val="en-US" w:eastAsia="zh-CN"/>
        </w:rPr>
        <w:t>公司</w:t>
      </w:r>
      <w:r>
        <w:rPr>
          <w:rFonts w:hint="default" w:ascii="Times New Roman" w:hAnsi="Times New Roman" w:eastAsia="宋体" w:cs="Times New Roman"/>
          <w:color w:val="000000"/>
          <w:sz w:val="24"/>
          <w:szCs w:val="24"/>
        </w:rPr>
        <w:t>控股股东国家能源投资集团有限责任公司</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以下简称</w:t>
      </w:r>
      <w:r>
        <w:rPr>
          <w:rFonts w:hint="default" w:ascii="Times New Roman" w:hAnsi="Times New Roman" w:eastAsia="宋体" w:cs="Times New Roman"/>
          <w:color w:val="000000"/>
          <w:sz w:val="24"/>
          <w:szCs w:val="24"/>
        </w:rPr>
        <w:t>国家能源集团</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认购的股份自发行结束并上市之日起18个月内不得转让，其他发行对象认购的股份自发行结束并上市之日起6个月内不得转让。本次发行后，公司总股本增加至3,481,035,016股。</w:t>
      </w:r>
      <w:r>
        <w:rPr>
          <w:rFonts w:hint="default" w:ascii="Times New Roman" w:hAnsi="Times New Roman" w:eastAsia="宋体" w:cs="Times New Roman"/>
          <w:color w:val="000000"/>
          <w:sz w:val="24"/>
          <w:szCs w:val="24"/>
          <w:lang w:val="en-US" w:eastAsia="zh-CN"/>
        </w:rPr>
        <w:t>本次向</w:t>
      </w:r>
      <w:r>
        <w:rPr>
          <w:rFonts w:hint="default" w:ascii="Times New Roman" w:hAnsi="Times New Roman" w:eastAsia="宋体" w:cs="Times New Roman"/>
          <w:color w:val="000000"/>
          <w:sz w:val="24"/>
          <w:szCs w:val="24"/>
        </w:rPr>
        <w:t>特定对象发行股票具体发行情况如下：</w:t>
      </w:r>
    </w:p>
    <w:tbl>
      <w:tblPr>
        <w:tblStyle w:val="8"/>
        <w:tblW w:w="5000" w:type="pct"/>
        <w:jc w:val="center"/>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Layout w:type="autofit"/>
        <w:tblCellMar>
          <w:top w:w="0" w:type="dxa"/>
          <w:left w:w="108" w:type="dxa"/>
          <w:bottom w:w="0" w:type="dxa"/>
          <w:right w:w="108" w:type="dxa"/>
        </w:tblCellMar>
      </w:tblPr>
      <w:tblGrid>
        <w:gridCol w:w="437"/>
        <w:gridCol w:w="3935"/>
        <w:gridCol w:w="1447"/>
        <w:gridCol w:w="1731"/>
        <w:gridCol w:w="972"/>
      </w:tblGrid>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tblHeader/>
          <w:jc w:val="center"/>
        </w:trPr>
        <w:tc>
          <w:tcPr>
            <w:tcW w:w="250"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bookmarkStart w:id="1" w:name="_Hlk198735697"/>
            <w:r>
              <w:rPr>
                <w:rFonts w:hint="default" w:ascii="Times New Roman" w:hAnsi="Times New Roman" w:eastAsia="宋体" w:cs="Times New Roman"/>
                <w:b/>
                <w:color w:val="000000"/>
              </w:rPr>
              <w:t>序号</w:t>
            </w:r>
          </w:p>
        </w:tc>
        <w:tc>
          <w:tcPr>
            <w:tcW w:w="2248"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发行对象</w:t>
            </w:r>
          </w:p>
        </w:tc>
        <w:tc>
          <w:tcPr>
            <w:tcW w:w="827"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获配股数（股）</w:t>
            </w:r>
          </w:p>
        </w:tc>
        <w:tc>
          <w:tcPr>
            <w:tcW w:w="989"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获配金额（元）</w:t>
            </w:r>
          </w:p>
        </w:tc>
        <w:tc>
          <w:tcPr>
            <w:tcW w:w="555"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锁定期（月）</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tcBorders>
              <w:top w:val="single" w:color="010000" w:sz="4" w:space="0"/>
            </w:tcBorders>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2248" w:type="pct"/>
            <w:tcBorders>
              <w:top w:val="single" w:color="010000" w:sz="4" w:space="0"/>
            </w:tcBorders>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国家能源投资集团有限责任公司</w:t>
            </w:r>
          </w:p>
        </w:tc>
        <w:tc>
          <w:tcPr>
            <w:tcW w:w="827" w:type="pct"/>
            <w:tcBorders>
              <w:top w:val="single" w:color="010000" w:sz="4" w:space="0"/>
            </w:tcBorders>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219,512,196</w:t>
            </w:r>
          </w:p>
        </w:tc>
        <w:tc>
          <w:tcPr>
            <w:tcW w:w="989" w:type="pct"/>
            <w:tcBorders>
              <w:top w:val="single" w:color="010000" w:sz="4" w:space="0"/>
            </w:tcBorders>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900,000,003.60</w:t>
            </w:r>
          </w:p>
        </w:tc>
        <w:tc>
          <w:tcPr>
            <w:tcW w:w="555" w:type="pct"/>
            <w:tcBorders>
              <w:top w:val="single" w:color="010000" w:sz="4" w:space="0"/>
            </w:tcBorders>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18</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2</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中国能源建设集团有限公司</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121,951,219</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499,999,997.90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3</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湖北省铁路发展基金有限责任公司</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73,170,731</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299,999,997.10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4</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诺德基金管理有限公司</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56,756,097</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232,699,997.70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5</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易米基金管理有限公司</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48,780,487</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199,999,996.70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国家绿色发展基金股份有限公司</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36,585,365</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149,999,996.50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7</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财通基金管理有限公司</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26,414,642</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108,300,032.20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8</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瑞众人寿保险有限责任公司</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24,390,243</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99,999,996.30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9</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江苏高投毅达绿色转型产业投资基金（有限合伙）</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19,512,195</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79,999,999.50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10</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国调创新私募股权投资基金（南昌）合伙企业（有限合伙）</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19,512,195</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79,999,999.50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11</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深圳市达晨财智创业投资管理有限公司-江西赣江新区财投晨源股权投资中心（有限合伙）</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17,073,170</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69,999,997.00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12</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eastAsia"/>
                <w:color w:val="000000"/>
                <w:szCs w:val="21"/>
              </w:rPr>
              <w:t>国泰君安证券股份有限公司</w:t>
            </w:r>
            <w:r>
              <w:rPr>
                <w:rFonts w:hint="eastAsia"/>
                <w:vertAlign w:val="superscript"/>
              </w:rPr>
              <w:t>注</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16,829,268</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68,999,998.80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13</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中节能（湖北）环保产业股权投资基金合伙企业（有限合伙）</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14,634,146</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59,999,998.60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14</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王梓煜</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49,999,996.10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15</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山东三足私募证券投资基金管理有限公司-三足天富2号私募证券投资基金</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49,999,996.10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50"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16</w:t>
            </w:r>
          </w:p>
        </w:tc>
        <w:tc>
          <w:tcPr>
            <w:tcW w:w="2248" w:type="pct"/>
            <w:shd w:val="clear" w:color="auto" w:fill="auto"/>
            <w:noWrap w:val="0"/>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济南瀚祥投资管理合伙企业（有限合伙）</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49,999,996.10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499" w:type="pct"/>
            <w:gridSpan w:val="2"/>
            <w:shd w:val="clear" w:color="auto" w:fill="auto"/>
            <w:noWrap w:val="0"/>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b/>
                <w:bCs/>
                <w:color w:val="000000"/>
                <w:szCs w:val="21"/>
              </w:rPr>
              <w:t>合计</w:t>
            </w:r>
          </w:p>
        </w:tc>
        <w:tc>
          <w:tcPr>
            <w:tcW w:w="827"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cs="Times New Roman"/>
                <w:b/>
                <w:bCs/>
                <w:color w:val="000000"/>
                <w:szCs w:val="21"/>
              </w:rPr>
              <w:t>731,707,317</w:t>
            </w:r>
          </w:p>
        </w:tc>
        <w:tc>
          <w:tcPr>
            <w:tcW w:w="989" w:type="pct"/>
            <w:shd w:val="clear" w:color="auto" w:fill="auto"/>
            <w:noWrap/>
            <w:vAlign w:val="center"/>
          </w:tcPr>
          <w:p>
            <w:pPr>
              <w:jc w:val="right"/>
              <w:rPr>
                <w:rFonts w:hint="default" w:ascii="Times New Roman" w:hAnsi="Times New Roman" w:eastAsia="宋体" w:cs="Times New Roman"/>
                <w:color w:val="000000"/>
              </w:rPr>
            </w:pPr>
            <w:r>
              <w:rPr>
                <w:rFonts w:hint="default" w:ascii="Times New Roman" w:hAnsi="Times New Roman" w:cs="Times New Roman"/>
                <w:b/>
                <w:bCs/>
                <w:color w:val="000000"/>
                <w:szCs w:val="21"/>
              </w:rPr>
              <w:t>2,999,999,999.70</w:t>
            </w:r>
          </w:p>
        </w:tc>
        <w:tc>
          <w:tcPr>
            <w:tcW w:w="555"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cs="Times New Roman"/>
                <w:b/>
                <w:bCs/>
                <w:color w:val="000000"/>
                <w:szCs w:val="21"/>
              </w:rPr>
              <w:t>-</w:t>
            </w:r>
          </w:p>
        </w:tc>
      </w:tr>
      <w:bookmarkEnd w:id="1"/>
    </w:tbl>
    <w:p>
      <w:pPr>
        <w:rPr>
          <w:color w:val="000000"/>
          <w:szCs w:val="21"/>
        </w:rPr>
      </w:pPr>
      <w:r>
        <w:rPr>
          <w:rFonts w:hint="eastAsia"/>
          <w:color w:val="000000"/>
          <w:szCs w:val="21"/>
        </w:rPr>
        <w:t>注：国泰君安证券股份有限公司</w:t>
      </w:r>
      <w:r>
        <w:rPr>
          <w:rFonts w:hint="eastAsia"/>
          <w:color w:val="000000"/>
          <w:szCs w:val="21"/>
          <w:lang w:val="en-US" w:eastAsia="zh-CN"/>
        </w:rPr>
        <w:t>已于</w:t>
      </w:r>
      <w:r>
        <w:rPr>
          <w:rFonts w:hint="eastAsia"/>
          <w:color w:val="000000"/>
          <w:szCs w:val="21"/>
        </w:rPr>
        <w:t>2025年4月更名为国泰海通证券股份有限公司。</w:t>
      </w:r>
    </w:p>
    <w:p>
      <w:pPr>
        <w:spacing w:line="380" w:lineRule="exact"/>
        <w:ind w:firstLine="482" w:firstLineChars="200"/>
        <w:rPr>
          <w:rFonts w:hint="default" w:ascii="Times New Roman" w:hAnsi="Times New Roman" w:eastAsia="宋体" w:cs="Times New Roman"/>
          <w:b/>
          <w:sz w:val="24"/>
          <w:szCs w:val="24"/>
        </w:rPr>
      </w:pPr>
      <w:r>
        <w:rPr>
          <w:rFonts w:hint="eastAsia" w:ascii="Times New Roman" w:hAnsi="Times New Roman" w:eastAsia="宋体"/>
          <w:b/>
          <w:sz w:val="24"/>
          <w:szCs w:val="24"/>
        </w:rPr>
        <w:t>二、</w:t>
      </w:r>
      <w:r>
        <w:rPr>
          <w:rFonts w:ascii="Times New Roman" w:hAnsi="Times New Roman" w:eastAsia="宋体"/>
          <w:b/>
          <w:sz w:val="24"/>
          <w:szCs w:val="24"/>
        </w:rPr>
        <w:t>本次限售股形成后至今公司股本数量变化情况</w:t>
      </w:r>
    </w:p>
    <w:p>
      <w:pPr>
        <w:spacing w:line="380" w:lineRule="exact"/>
        <w:ind w:firstLine="480" w:firstLineChars="200"/>
        <w:rPr>
          <w:rFonts w:hint="eastAsia" w:cs="Times New Roman"/>
          <w:b w:val="0"/>
          <w:bCs/>
          <w:sz w:val="24"/>
          <w:szCs w:val="24"/>
          <w:lang w:eastAsia="zh-CN"/>
        </w:rPr>
      </w:pPr>
      <w:r>
        <w:rPr>
          <w:rFonts w:hint="default" w:ascii="Times New Roman" w:hAnsi="Times New Roman" w:eastAsia="宋体" w:cs="Times New Roman"/>
          <w:b w:val="0"/>
          <w:bCs/>
          <w:sz w:val="24"/>
          <w:szCs w:val="24"/>
        </w:rPr>
        <w:t>本次向特定对象发行股票完成</w:t>
      </w:r>
      <w:r>
        <w:rPr>
          <w:rFonts w:hint="eastAsia" w:cs="Times New Roman"/>
          <w:b w:val="0"/>
          <w:bCs/>
          <w:sz w:val="24"/>
          <w:szCs w:val="24"/>
          <w:lang w:eastAsia="zh-CN"/>
        </w:rPr>
        <w:t>暨限售股形成</w:t>
      </w:r>
      <w:r>
        <w:rPr>
          <w:rFonts w:hint="default" w:ascii="Times New Roman" w:hAnsi="Times New Roman" w:eastAsia="宋体" w:cs="Times New Roman"/>
          <w:b w:val="0"/>
          <w:bCs/>
          <w:sz w:val="24"/>
          <w:szCs w:val="24"/>
        </w:rPr>
        <w:t>后，公司总股本由2,749,327,699股增加至3,481,035,016股</w:t>
      </w:r>
      <w:r>
        <w:rPr>
          <w:rFonts w:hint="eastAsia" w:cs="Times New Roman"/>
          <w:b w:val="0"/>
          <w:bCs/>
          <w:sz w:val="24"/>
          <w:szCs w:val="24"/>
          <w:lang w:eastAsia="zh-CN"/>
        </w:rPr>
        <w:t>。</w:t>
      </w:r>
    </w:p>
    <w:p>
      <w:pPr>
        <w:spacing w:line="380" w:lineRule="exact"/>
        <w:ind w:firstLine="480" w:firstLineChars="200"/>
        <w:rPr>
          <w:rFonts w:hint="eastAsia" w:cs="Times New Roman"/>
          <w:b w:val="0"/>
          <w:bCs/>
          <w:sz w:val="24"/>
          <w:szCs w:val="24"/>
          <w:lang w:eastAsia="zh-CN"/>
        </w:rPr>
      </w:pPr>
      <w:r>
        <w:rPr>
          <w:rFonts w:hint="eastAsia" w:ascii="Times New Roman" w:hAnsi="Times New Roman" w:eastAsia="宋体"/>
          <w:sz w:val="24"/>
        </w:rPr>
        <w:t>除上述情形外，本次限售股形成至本</w:t>
      </w:r>
      <w:r>
        <w:rPr>
          <w:rFonts w:hint="eastAsia" w:ascii="Times New Roman" w:hAnsi="Times New Roman" w:eastAsia="宋体"/>
          <w:sz w:val="24"/>
          <w:lang w:eastAsia="zh-CN"/>
        </w:rPr>
        <w:t>公告披露</w:t>
      </w:r>
      <w:r>
        <w:rPr>
          <w:rFonts w:hint="eastAsia" w:ascii="Times New Roman" w:hAnsi="Times New Roman" w:eastAsia="宋体"/>
          <w:sz w:val="24"/>
        </w:rPr>
        <w:t>日，公司未发生因</w:t>
      </w:r>
      <w:r>
        <w:rPr>
          <w:rFonts w:hint="eastAsia" w:ascii="Times New Roman" w:hAnsi="Times New Roman" w:eastAsia="宋体"/>
          <w:sz w:val="24"/>
          <w:lang w:eastAsia="zh-CN"/>
        </w:rPr>
        <w:t>配股</w:t>
      </w:r>
      <w:r>
        <w:rPr>
          <w:rFonts w:hint="eastAsia" w:ascii="Times New Roman" w:hAnsi="Times New Roman" w:eastAsia="宋体"/>
          <w:sz w:val="24"/>
        </w:rPr>
        <w:t>、</w:t>
      </w:r>
      <w:r>
        <w:rPr>
          <w:rFonts w:hint="eastAsia" w:ascii="Times New Roman" w:hAnsi="Times New Roman" w:eastAsia="宋体"/>
          <w:sz w:val="24"/>
          <w:lang w:eastAsia="zh-CN"/>
        </w:rPr>
        <w:t>送红股、资本</w:t>
      </w:r>
      <w:r>
        <w:rPr>
          <w:rFonts w:hint="eastAsia" w:ascii="Times New Roman" w:hAnsi="Times New Roman" w:eastAsia="宋体"/>
          <w:sz w:val="24"/>
        </w:rPr>
        <w:t>公积金转增</w:t>
      </w:r>
      <w:r>
        <w:rPr>
          <w:rFonts w:hint="eastAsia" w:ascii="Times New Roman" w:hAnsi="Times New Roman" w:eastAsia="宋体"/>
          <w:sz w:val="24"/>
          <w:lang w:eastAsia="zh-CN"/>
        </w:rPr>
        <w:t>股本</w:t>
      </w:r>
      <w:r>
        <w:rPr>
          <w:rFonts w:hint="eastAsia" w:ascii="Times New Roman" w:hAnsi="Times New Roman" w:eastAsia="宋体"/>
          <w:sz w:val="24"/>
        </w:rPr>
        <w:t>等导致股本数量变化的情况。</w:t>
      </w:r>
    </w:p>
    <w:p>
      <w:pPr>
        <w:spacing w:line="380" w:lineRule="exact"/>
        <w:ind w:firstLine="482" w:firstLineChars="200"/>
        <w:rPr>
          <w:rFonts w:hint="default" w:ascii="Times New Roman" w:hAnsi="Times New Roman" w:eastAsia="宋体" w:cs="Times New Roman"/>
          <w:b/>
          <w:sz w:val="24"/>
          <w:szCs w:val="24"/>
        </w:rPr>
      </w:pPr>
      <w:r>
        <w:rPr>
          <w:rFonts w:hint="eastAsia" w:cs="Times New Roman"/>
          <w:b/>
          <w:sz w:val="24"/>
          <w:szCs w:val="24"/>
          <w:lang w:eastAsia="zh-CN"/>
        </w:rPr>
        <w:t>三</w:t>
      </w:r>
      <w:r>
        <w:rPr>
          <w:rFonts w:hint="default" w:ascii="Times New Roman" w:hAnsi="Times New Roman" w:eastAsia="宋体" w:cs="Times New Roman"/>
          <w:b/>
          <w:sz w:val="24"/>
          <w:szCs w:val="24"/>
        </w:rPr>
        <w:t xml:space="preserve">、申请解除股份限售股东履行承诺情况 </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（一）股份锁定承诺</w:t>
      </w:r>
    </w:p>
    <w:p>
      <w:pPr>
        <w:spacing w:line="380" w:lineRule="exact"/>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本次申请解除股份限售的股东共15名，分别</w:t>
      </w:r>
      <w:r>
        <w:rPr>
          <w:rFonts w:hint="default" w:ascii="Times New Roman" w:hAnsi="Times New Roman" w:eastAsia="宋体" w:cs="Times New Roman"/>
          <w:color w:val="000000"/>
          <w:sz w:val="24"/>
          <w:szCs w:val="24"/>
          <w:lang w:val="en-US" w:eastAsia="zh-CN"/>
        </w:rPr>
        <w:t>为中国能源建设集团有限公司、湖北省铁路发展基金有限责任公司、诺德基金管理有限公司、易米基金管理有限公司、国家绿色发展基金股份有限公司、财通基金管理有限公司、瑞众人寿保险有限责任公司、江苏高投毅达绿色转型产业投资基金（有限合伙）、国调创新私募股权投资基金（南昌）合伙企业（有限合伙）、深圳市达晨财智创业投资管理有限公司-江西赣江新区财投晨源股权投资中心（有限合伙）、国泰海通证券股份有限公司、中节能（湖北）环保产业股权投资基金合伙企业（有限合伙）、王梓煜、山东三足私募证券投资基金管理有限公司-三足天富2号私募证券投资基金、济南瀚祥投资管理合伙企业（有限合伙）。</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上述15名股东在本次发行时均承诺：自长源电力本次向特定对象发行的股票上市之日起6个月内，不转让或委托他人管理本单位/本人所认购的上述股份。</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（二）承诺履行情况</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截至本公告披露日，本次申请解除股份限售的股东</w:t>
      </w:r>
      <w:r>
        <w:rPr>
          <w:rFonts w:hint="default" w:ascii="Times New Roman" w:hAnsi="Times New Roman" w:eastAsia="宋体" w:cs="Times New Roman"/>
          <w:color w:val="000000"/>
          <w:sz w:val="24"/>
          <w:szCs w:val="24"/>
          <w:lang w:val="en-US" w:eastAsia="zh-CN"/>
        </w:rPr>
        <w:t>均</w:t>
      </w:r>
      <w:r>
        <w:rPr>
          <w:rFonts w:hint="default" w:ascii="Times New Roman" w:hAnsi="Times New Roman" w:eastAsia="宋体" w:cs="Times New Roman"/>
          <w:color w:val="000000"/>
          <w:sz w:val="24"/>
          <w:szCs w:val="24"/>
        </w:rPr>
        <w:t>严格履行前述承诺，未出现违反承诺的情形。</w:t>
      </w:r>
    </w:p>
    <w:p>
      <w:pPr>
        <w:spacing w:line="380" w:lineRule="exact"/>
        <w:ind w:firstLine="482" w:firstLineChars="200"/>
        <w:rPr>
          <w:rFonts w:hint="default" w:ascii="Times New Roman" w:hAnsi="Times New Roman" w:eastAsia="宋体" w:cs="Times New Roman"/>
          <w:bCs/>
          <w:sz w:val="24"/>
          <w:szCs w:val="24"/>
        </w:rPr>
      </w:pPr>
      <w:r>
        <w:rPr>
          <w:rFonts w:hint="eastAsia" w:cs="Times New Roman"/>
          <w:b/>
          <w:sz w:val="24"/>
          <w:szCs w:val="24"/>
          <w:lang w:eastAsia="zh-CN"/>
        </w:rPr>
        <w:t>四</w:t>
      </w:r>
      <w:r>
        <w:rPr>
          <w:rFonts w:hint="default" w:ascii="Times New Roman" w:hAnsi="Times New Roman" w:eastAsia="宋体" w:cs="Times New Roman"/>
          <w:b/>
          <w:sz w:val="24"/>
          <w:szCs w:val="24"/>
        </w:rPr>
        <w:t>、本次申请解除限售股东对公司的非经营性资金占用、公司对该股东违规担保等情况的说明</w:t>
      </w:r>
    </w:p>
    <w:p>
      <w:pPr>
        <w:spacing w:line="38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截至本公告披露日，本次申请解除股份限售的股东未发生非经营性占用公司资金的情况，也未发生公司对</w:t>
      </w:r>
      <w:r>
        <w:rPr>
          <w:rFonts w:hint="eastAsia" w:cs="Times New Roman"/>
          <w:bCs/>
          <w:sz w:val="24"/>
          <w:szCs w:val="24"/>
          <w:lang w:val="en-US" w:eastAsia="zh-CN"/>
        </w:rPr>
        <w:t>该股东</w:t>
      </w:r>
      <w:r>
        <w:rPr>
          <w:rFonts w:hint="default" w:ascii="Times New Roman" w:hAnsi="Times New Roman" w:eastAsia="宋体" w:cs="Times New Roman"/>
          <w:bCs/>
          <w:sz w:val="24"/>
          <w:szCs w:val="24"/>
        </w:rPr>
        <w:t>违规担保</w:t>
      </w:r>
      <w:r>
        <w:rPr>
          <w:rFonts w:hint="eastAsia" w:cs="Times New Roman"/>
          <w:bCs/>
          <w:sz w:val="24"/>
          <w:szCs w:val="24"/>
          <w:lang w:eastAsia="zh-CN"/>
        </w:rPr>
        <w:t>等损害公司及股东利益</w:t>
      </w:r>
      <w:r>
        <w:rPr>
          <w:rFonts w:hint="default" w:ascii="Times New Roman" w:hAnsi="Times New Roman" w:eastAsia="宋体" w:cs="Times New Roman"/>
          <w:bCs/>
          <w:sz w:val="24"/>
          <w:szCs w:val="24"/>
        </w:rPr>
        <w:t>的情况。</w:t>
      </w:r>
    </w:p>
    <w:p>
      <w:pPr>
        <w:spacing w:line="380" w:lineRule="exact"/>
        <w:ind w:firstLine="482" w:firstLineChars="200"/>
        <w:rPr>
          <w:rFonts w:hint="default" w:ascii="Times New Roman" w:hAnsi="Times New Roman" w:eastAsia="宋体" w:cs="Times New Roman"/>
          <w:b/>
          <w:sz w:val="24"/>
          <w:szCs w:val="24"/>
        </w:rPr>
      </w:pPr>
      <w:r>
        <w:rPr>
          <w:rFonts w:hint="eastAsia" w:cs="Times New Roman"/>
          <w:b/>
          <w:sz w:val="24"/>
          <w:szCs w:val="24"/>
          <w:lang w:eastAsia="zh-CN"/>
        </w:rPr>
        <w:t>五</w:t>
      </w:r>
      <w:r>
        <w:rPr>
          <w:rFonts w:hint="default" w:ascii="Times New Roman" w:hAnsi="Times New Roman" w:eastAsia="宋体" w:cs="Times New Roman"/>
          <w:b/>
          <w:sz w:val="24"/>
          <w:szCs w:val="24"/>
        </w:rPr>
        <w:t>、本次限售股上市流通情况</w:t>
      </w:r>
    </w:p>
    <w:p>
      <w:pPr>
        <w:spacing w:line="380" w:lineRule="exact"/>
        <w:ind w:firstLine="480" w:firstLineChars="200"/>
        <w:rPr>
          <w:rFonts w:hint="default" w:ascii="Times New Roman" w:hAnsi="Times New Roman" w:eastAsia="宋体" w:cs="Times New Roman"/>
          <w:color w:val="000000"/>
          <w:sz w:val="24"/>
          <w:szCs w:val="24"/>
        </w:rPr>
      </w:pPr>
      <w:bookmarkStart w:id="2" w:name="_Hlk198302694"/>
      <w:r>
        <w:rPr>
          <w:rFonts w:hint="default" w:ascii="Times New Roman" w:hAnsi="Times New Roman" w:eastAsia="宋体" w:cs="Times New Roman"/>
          <w:sz w:val="24"/>
        </w:rPr>
        <w:t>1</w:t>
      </w:r>
      <w:r>
        <w:rPr>
          <w:rFonts w:hint="eastAsia"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本次解除限售股份的上市流通日期：2025年6月3日。</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r>
        <w:rPr>
          <w:rFonts w:hint="eastAsia"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本次解除限售股份的上市流通数量为512,195,121股，</w:t>
      </w:r>
      <w:r>
        <w:rPr>
          <w:rFonts w:hint="default" w:ascii="Times New Roman" w:hAnsi="Times New Roman" w:eastAsia="宋体" w:cs="Times New Roman"/>
          <w:sz w:val="24"/>
        </w:rPr>
        <w:t>占公司总股本3,481,035,016股的14.71%</w:t>
      </w:r>
      <w:r>
        <w:rPr>
          <w:rFonts w:hint="eastAsia" w:cs="Times New Roman"/>
          <w:color w:val="000000"/>
          <w:sz w:val="24"/>
          <w:szCs w:val="24"/>
          <w:lang w:eastAsia="zh-CN"/>
        </w:rPr>
        <w:t>，占本次解除限售前公司无限售条件股份的18.63%，占本次解除限售后公司无限售条件股份的15.70%</w:t>
      </w:r>
      <w:r>
        <w:rPr>
          <w:rFonts w:hint="eastAsia" w:ascii="Times New Roman" w:hAnsi="Times New Roman" w:eastAsia="宋体"/>
          <w:color w:val="000000"/>
          <w:sz w:val="24"/>
          <w:szCs w:val="24"/>
          <w:lang w:val="en-US" w:eastAsia="zh-CN"/>
        </w:rPr>
        <w:t>。</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r>
        <w:rPr>
          <w:rFonts w:hint="eastAsia"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本次申请解除股份限售的股东共15名。</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r>
        <w:rPr>
          <w:rFonts w:hint="eastAsia" w:cs="Times New Roman"/>
          <w:color w:val="000000"/>
          <w:sz w:val="24"/>
          <w:szCs w:val="24"/>
          <w:lang w:val="en-US" w:eastAsia="zh-CN"/>
        </w:rPr>
        <w:t xml:space="preserve">. </w:t>
      </w:r>
      <w:r>
        <w:rPr>
          <w:rFonts w:hint="default" w:ascii="Times New Roman" w:hAnsi="Times New Roman" w:eastAsia="宋体" w:cs="Times New Roman"/>
          <w:color w:val="000000"/>
          <w:sz w:val="24"/>
          <w:szCs w:val="24"/>
        </w:rPr>
        <w:t>本次股份解除限售及上市流通具体情况如下：</w:t>
      </w:r>
    </w:p>
    <w:bookmarkEnd w:id="2"/>
    <w:tbl>
      <w:tblPr>
        <w:tblStyle w:val="8"/>
        <w:tblW w:w="5000" w:type="pct"/>
        <w:jc w:val="center"/>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Layout w:type="autofit"/>
        <w:tblCellMar>
          <w:top w:w="0" w:type="dxa"/>
          <w:left w:w="108" w:type="dxa"/>
          <w:bottom w:w="0" w:type="dxa"/>
          <w:right w:w="108" w:type="dxa"/>
        </w:tblCellMar>
      </w:tblPr>
      <w:tblGrid>
        <w:gridCol w:w="499"/>
        <w:gridCol w:w="3376"/>
        <w:gridCol w:w="1636"/>
        <w:gridCol w:w="1710"/>
        <w:gridCol w:w="1301"/>
      </w:tblGrid>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1163" w:hRule="atLeast"/>
          <w:tblHeader/>
          <w:jc w:val="center"/>
        </w:trPr>
        <w:tc>
          <w:tcPr>
            <w:tcW w:w="293"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序号</w:t>
            </w:r>
          </w:p>
        </w:tc>
        <w:tc>
          <w:tcPr>
            <w:tcW w:w="1981"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发行对象</w:t>
            </w:r>
          </w:p>
        </w:tc>
        <w:tc>
          <w:tcPr>
            <w:tcW w:w="960"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持有限售</w:t>
            </w:r>
            <w:r>
              <w:rPr>
                <w:rFonts w:hint="default" w:ascii="Times New Roman" w:hAnsi="Times New Roman" w:eastAsia="宋体" w:cs="Times New Roman"/>
                <w:b/>
                <w:color w:val="000000"/>
                <w:lang w:val="en-US" w:eastAsia="zh-CN"/>
              </w:rPr>
              <w:t>股份总数</w:t>
            </w:r>
            <w:r>
              <w:rPr>
                <w:rFonts w:hint="default" w:ascii="Times New Roman" w:hAnsi="Times New Roman" w:eastAsia="宋体" w:cs="Times New Roman"/>
                <w:b/>
                <w:color w:val="000000"/>
              </w:rPr>
              <w:t>（股）</w:t>
            </w:r>
          </w:p>
        </w:tc>
        <w:tc>
          <w:tcPr>
            <w:tcW w:w="1003"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本次解除限售</w:t>
            </w:r>
            <w:r>
              <w:rPr>
                <w:rFonts w:hint="default" w:ascii="Times New Roman" w:hAnsi="Times New Roman" w:eastAsia="宋体" w:cs="Times New Roman"/>
                <w:b/>
                <w:color w:val="000000"/>
                <w:lang w:val="en-US" w:eastAsia="zh-CN"/>
              </w:rPr>
              <w:t>股份</w:t>
            </w:r>
            <w:r>
              <w:rPr>
                <w:rFonts w:hint="default" w:ascii="Times New Roman" w:hAnsi="Times New Roman" w:eastAsia="宋体" w:cs="Times New Roman"/>
                <w:b/>
                <w:color w:val="000000"/>
              </w:rPr>
              <w:t>数量（股）</w:t>
            </w:r>
          </w:p>
        </w:tc>
        <w:tc>
          <w:tcPr>
            <w:tcW w:w="763" w:type="pct"/>
            <w:tcBorders>
              <w:top w:val="single" w:color="010000" w:sz="12" w:space="0"/>
              <w:bottom w:val="single" w:color="010000" w:sz="4" w:space="0"/>
            </w:tcBorders>
            <w:shd w:val="clear" w:color="auto" w:fill="auto"/>
            <w:noWrap w:val="0"/>
            <w:vAlign w:val="center"/>
          </w:tcPr>
          <w:p>
            <w:pPr>
              <w:keepNext/>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本次解除限售</w:t>
            </w:r>
            <w:r>
              <w:rPr>
                <w:rFonts w:hint="default" w:ascii="Times New Roman" w:hAnsi="Times New Roman" w:eastAsia="宋体" w:cs="Times New Roman"/>
                <w:b/>
                <w:color w:val="000000"/>
                <w:lang w:val="en-US" w:eastAsia="zh-CN"/>
              </w:rPr>
              <w:t>股份</w:t>
            </w:r>
            <w:r>
              <w:rPr>
                <w:rFonts w:hint="default" w:ascii="Times New Roman" w:hAnsi="Times New Roman" w:eastAsia="宋体" w:cs="Times New Roman"/>
                <w:b/>
                <w:color w:val="000000"/>
              </w:rPr>
              <w:t>数量占公司总股本的比例</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tcBorders>
              <w:top w:val="single" w:color="010000" w:sz="4" w:space="0"/>
            </w:tcBorders>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3376" w:type="dxa"/>
            <w:tcBorders>
              <w:top w:val="single" w:color="010000" w:sz="4" w:space="0"/>
            </w:tcBorders>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中国能源建设集团有限公司</w:t>
            </w:r>
          </w:p>
        </w:tc>
        <w:tc>
          <w:tcPr>
            <w:tcW w:w="1636" w:type="dxa"/>
            <w:tcBorders>
              <w:top w:val="single" w:color="010000" w:sz="4" w:space="0"/>
            </w:tcBorders>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121,951,219</w:t>
            </w:r>
          </w:p>
        </w:tc>
        <w:tc>
          <w:tcPr>
            <w:tcW w:w="1710" w:type="dxa"/>
            <w:tcBorders>
              <w:top w:val="single" w:color="010000" w:sz="4" w:space="0"/>
            </w:tcBorders>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121,951,219</w:t>
            </w:r>
          </w:p>
        </w:tc>
        <w:tc>
          <w:tcPr>
            <w:tcW w:w="1301" w:type="dxa"/>
            <w:tcBorders>
              <w:top w:val="single" w:color="010000" w:sz="4" w:space="0"/>
            </w:tcBorders>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3.50%</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2</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湖北省铁路发展基金有限责任公司</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73,170,731</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73,170,731</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2.10%</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3</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诺德基金管理有限公司</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56,756,097</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56,756,097</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1.63%</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4</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易米基金管理有限公司</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48,780,487</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48,780,487</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1.40%</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5</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国家绿色发展基金股份有限公司</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36,585,365</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36,585,365</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1.05%</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6</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财通基金管理有限公司</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26,414,642</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26,414,642</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0.76%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7</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瑞众人寿保险有限责任公司</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24,390,243</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24,390,243</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0.70%</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8</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江苏高投毅达绿色转型产业投资基金（有限合伙）</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19,512,195</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19,512,195</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0.56%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9</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国调创新私募股权投资基金（南昌）合伙企业（有限合伙）</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19,512,195</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19,512,195</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0.56%</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10</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深圳市达晨财智创业投资管理有限公司-江西赣江新区财投晨源股权投资中心（有限合伙）</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17,073,170</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17,073,170</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0.49%</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11</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国泰海通证券股份有限公司</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16,829,268</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16,829,268</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0.48%</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12</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中节能（湖北）环保产业股权投资基金合伙企业（有限合伙）</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14,634,146</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14,634,146</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0.42%</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13</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王梓煜</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0.35%</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14</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山东三足私募证券投资基金管理有限公司-三足天富2号私募证券投资基金</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0.35%</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93" w:type="pct"/>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rPr>
              <w:t>15</w:t>
            </w:r>
          </w:p>
        </w:tc>
        <w:tc>
          <w:tcPr>
            <w:tcW w:w="3376" w:type="dxa"/>
            <w:shd w:val="clear" w:color="auto" w:fill="auto"/>
            <w:noWrap w:val="0"/>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济南瀚祥投资管理合伙企业（有限合伙）</w:t>
            </w:r>
          </w:p>
        </w:tc>
        <w:tc>
          <w:tcPr>
            <w:tcW w:w="1636"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1710"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12,195,121</w:t>
            </w:r>
          </w:p>
        </w:tc>
        <w:tc>
          <w:tcPr>
            <w:tcW w:w="1301" w:type="dxa"/>
            <w:shd w:val="clear" w:color="auto" w:fill="auto"/>
            <w:noWrap w:val="0"/>
            <w:vAlign w:val="center"/>
          </w:tcPr>
          <w:p>
            <w:pPr>
              <w:jc w:val="right"/>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0.35%</w:t>
            </w:r>
          </w:p>
        </w:tc>
      </w:tr>
      <w:tr>
        <w:tblPrEx>
          <w:tblBorders>
            <w:top w:val="single" w:color="010000" w:sz="12" w:space="0"/>
            <w:left w:val="single" w:color="010000" w:sz="12" w:space="0"/>
            <w:bottom w:val="single" w:color="010000" w:sz="12" w:space="0"/>
            <w:right w:val="single" w:color="010000" w:sz="12" w:space="0"/>
            <w:insideH w:val="single" w:color="010000" w:sz="4" w:space="0"/>
            <w:insideV w:val="single" w:color="010000" w:sz="4" w:space="0"/>
          </w:tblBorders>
          <w:tblCellMar>
            <w:top w:w="0" w:type="dxa"/>
            <w:left w:w="108" w:type="dxa"/>
            <w:bottom w:w="0" w:type="dxa"/>
            <w:right w:w="108" w:type="dxa"/>
          </w:tblCellMar>
        </w:tblPrEx>
        <w:trPr>
          <w:cantSplit/>
          <w:trHeight w:val="397" w:hRule="atLeast"/>
          <w:jc w:val="center"/>
        </w:trPr>
        <w:tc>
          <w:tcPr>
            <w:tcW w:w="2274" w:type="pct"/>
            <w:gridSpan w:val="2"/>
            <w:shd w:val="clear" w:color="auto" w:fill="auto"/>
            <w:noWrap w:val="0"/>
            <w:vAlign w:val="center"/>
          </w:tcPr>
          <w:p>
            <w:pPr>
              <w:jc w:val="center"/>
              <w:rPr>
                <w:rFonts w:hint="default" w:ascii="Times New Roman" w:hAnsi="Times New Roman" w:eastAsia="宋体" w:cs="Times New Roman"/>
                <w:b/>
                <w:color w:val="000000"/>
              </w:rPr>
            </w:pPr>
            <w:r>
              <w:rPr>
                <w:rFonts w:hint="default" w:ascii="Times New Roman" w:hAnsi="Times New Roman" w:eastAsia="宋体" w:cs="Times New Roman"/>
                <w:b/>
                <w:color w:val="000000"/>
              </w:rPr>
              <w:t>合计</w:t>
            </w:r>
          </w:p>
        </w:tc>
        <w:tc>
          <w:tcPr>
            <w:tcW w:w="960" w:type="pct"/>
            <w:shd w:val="clear" w:color="auto" w:fill="auto"/>
            <w:noWrap w:val="0"/>
            <w:vAlign w:val="center"/>
          </w:tcPr>
          <w:p>
            <w:pPr>
              <w:jc w:val="right"/>
              <w:rPr>
                <w:rFonts w:hint="default" w:ascii="Times New Roman" w:hAnsi="Times New Roman" w:eastAsia="宋体" w:cs="Times New Roman"/>
                <w:b/>
                <w:color w:val="000000"/>
              </w:rPr>
            </w:pPr>
            <w:r>
              <w:rPr>
                <w:rFonts w:hint="default" w:ascii="Times New Roman" w:hAnsi="Times New Roman" w:eastAsia="宋体" w:cs="Times New Roman"/>
                <w:b/>
                <w:color w:val="000000"/>
              </w:rPr>
              <w:t>512,195,121</w:t>
            </w:r>
          </w:p>
        </w:tc>
        <w:tc>
          <w:tcPr>
            <w:tcW w:w="1003" w:type="pct"/>
            <w:shd w:val="clear" w:color="auto" w:fill="auto"/>
            <w:noWrap w:val="0"/>
            <w:vAlign w:val="center"/>
          </w:tcPr>
          <w:p>
            <w:pPr>
              <w:jc w:val="right"/>
              <w:rPr>
                <w:rFonts w:hint="default" w:ascii="Times New Roman" w:hAnsi="Times New Roman" w:eastAsia="宋体" w:cs="Times New Roman"/>
                <w:b/>
                <w:color w:val="000000"/>
              </w:rPr>
            </w:pPr>
            <w:r>
              <w:rPr>
                <w:rFonts w:hint="default" w:ascii="Times New Roman" w:hAnsi="Times New Roman" w:eastAsia="宋体" w:cs="Times New Roman"/>
                <w:b/>
                <w:color w:val="000000"/>
              </w:rPr>
              <w:t>512,195,121</w:t>
            </w:r>
          </w:p>
        </w:tc>
        <w:tc>
          <w:tcPr>
            <w:tcW w:w="763" w:type="pct"/>
            <w:shd w:val="clear" w:color="auto" w:fill="auto"/>
            <w:noWrap w:val="0"/>
            <w:vAlign w:val="center"/>
          </w:tcPr>
          <w:p>
            <w:pPr>
              <w:jc w:val="right"/>
              <w:rPr>
                <w:rFonts w:hint="default" w:ascii="Times New Roman" w:hAnsi="Times New Roman" w:eastAsia="宋体" w:cs="Times New Roman"/>
                <w:b/>
                <w:color w:val="000000"/>
              </w:rPr>
            </w:pPr>
            <w:r>
              <w:rPr>
                <w:rFonts w:hint="default" w:ascii="Times New Roman" w:hAnsi="Times New Roman" w:eastAsia="宋体" w:cs="Times New Roman"/>
                <w:b/>
                <w:color w:val="000000"/>
              </w:rPr>
              <w:t>14.71%</w:t>
            </w:r>
          </w:p>
        </w:tc>
      </w:tr>
    </w:tbl>
    <w:p>
      <w:pPr>
        <w:ind w:firstLine="482" w:firstLineChars="200"/>
        <w:rPr>
          <w:rFonts w:hint="default" w:ascii="Times New Roman" w:hAnsi="Times New Roman" w:eastAsia="宋体" w:cs="Times New Roman"/>
          <w:b/>
          <w:sz w:val="24"/>
          <w:szCs w:val="24"/>
        </w:rPr>
      </w:pPr>
      <w:r>
        <w:rPr>
          <w:rFonts w:hint="eastAsia" w:cs="Times New Roman"/>
          <w:b/>
          <w:bCs w:val="0"/>
          <w:sz w:val="24"/>
          <w:szCs w:val="24"/>
          <w:lang w:val="en-US" w:eastAsia="zh-CN"/>
        </w:rPr>
        <w:t>六</w:t>
      </w:r>
      <w:r>
        <w:rPr>
          <w:rFonts w:hint="default" w:ascii="Times New Roman" w:hAnsi="Times New Roman" w:eastAsia="宋体" w:cs="Times New Roman"/>
          <w:b/>
          <w:sz w:val="24"/>
          <w:szCs w:val="24"/>
        </w:rPr>
        <w:t>、本次可解除限售股票上市流通前后的股本结构变化</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432"/>
        <w:gridCol w:w="1021"/>
        <w:gridCol w:w="1416"/>
        <w:gridCol w:w="159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股份类型</w:t>
            </w:r>
          </w:p>
        </w:tc>
        <w:tc>
          <w:tcPr>
            <w:tcW w:w="2453" w:type="dxa"/>
            <w:gridSpan w:val="2"/>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本次变动前</w:t>
            </w:r>
          </w:p>
        </w:tc>
        <w:tc>
          <w:tcPr>
            <w:tcW w:w="1416" w:type="dxa"/>
            <w:vMerge w:val="restart"/>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本次变动（股）</w:t>
            </w:r>
          </w:p>
        </w:tc>
        <w:tc>
          <w:tcPr>
            <w:tcW w:w="2618" w:type="dxa"/>
            <w:gridSpan w:val="2"/>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noWrap w:val="0"/>
            <w:vAlign w:val="center"/>
          </w:tcPr>
          <w:p>
            <w:pPr>
              <w:jc w:val="center"/>
              <w:rPr>
                <w:rFonts w:hint="default" w:ascii="Times New Roman" w:hAnsi="Times New Roman" w:eastAsia="宋体" w:cs="Times New Roman"/>
                <w:szCs w:val="21"/>
              </w:rPr>
            </w:pPr>
          </w:p>
        </w:tc>
        <w:tc>
          <w:tcPr>
            <w:tcW w:w="1432"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数量（股）</w:t>
            </w:r>
          </w:p>
        </w:tc>
        <w:tc>
          <w:tcPr>
            <w:tcW w:w="1021"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比例</w:t>
            </w:r>
          </w:p>
        </w:tc>
        <w:tc>
          <w:tcPr>
            <w:tcW w:w="1416" w:type="dxa"/>
            <w:vMerge w:val="continue"/>
            <w:shd w:val="clear" w:color="auto" w:fill="auto"/>
            <w:noWrap w:val="0"/>
            <w:vAlign w:val="center"/>
          </w:tcPr>
          <w:p>
            <w:pPr>
              <w:jc w:val="center"/>
              <w:rPr>
                <w:rFonts w:hint="default" w:ascii="Times New Roman" w:hAnsi="Times New Roman" w:eastAsia="宋体" w:cs="Times New Roman"/>
                <w:szCs w:val="21"/>
              </w:rPr>
            </w:pPr>
          </w:p>
        </w:tc>
        <w:tc>
          <w:tcPr>
            <w:tcW w:w="1596"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数量（股）</w:t>
            </w:r>
          </w:p>
        </w:tc>
        <w:tc>
          <w:tcPr>
            <w:tcW w:w="1022"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09"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有限售条件股份</w:t>
            </w:r>
          </w:p>
        </w:tc>
        <w:tc>
          <w:tcPr>
            <w:tcW w:w="1432"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731,707,317</w:t>
            </w:r>
          </w:p>
        </w:tc>
        <w:tc>
          <w:tcPr>
            <w:tcW w:w="1021"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21.02%</w:t>
            </w:r>
          </w:p>
        </w:tc>
        <w:tc>
          <w:tcPr>
            <w:tcW w:w="1416"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-512,195,121</w:t>
            </w:r>
          </w:p>
        </w:tc>
        <w:tc>
          <w:tcPr>
            <w:tcW w:w="1596"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219,512,196</w:t>
            </w:r>
          </w:p>
        </w:tc>
        <w:tc>
          <w:tcPr>
            <w:tcW w:w="1022"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809" w:type="dxa"/>
            <w:shd w:val="clear" w:color="auto" w:fill="auto"/>
            <w:noWrap w:val="0"/>
            <w:vAlign w:val="top"/>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无限售条件股份</w:t>
            </w:r>
          </w:p>
        </w:tc>
        <w:tc>
          <w:tcPr>
            <w:tcW w:w="1432"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2,749,327,699</w:t>
            </w:r>
          </w:p>
        </w:tc>
        <w:tc>
          <w:tcPr>
            <w:tcW w:w="1021"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78.98%</w:t>
            </w:r>
          </w:p>
        </w:tc>
        <w:tc>
          <w:tcPr>
            <w:tcW w:w="1416"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512,195,121</w:t>
            </w:r>
          </w:p>
        </w:tc>
        <w:tc>
          <w:tcPr>
            <w:tcW w:w="1596"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3,261,522,820</w:t>
            </w:r>
          </w:p>
        </w:tc>
        <w:tc>
          <w:tcPr>
            <w:tcW w:w="1022" w:type="dxa"/>
            <w:shd w:val="clear" w:color="auto" w:fill="auto"/>
            <w:noWrap w:val="0"/>
            <w:vAlign w:val="center"/>
          </w:tcPr>
          <w:p>
            <w:pPr>
              <w:jc w:val="center"/>
              <w:rPr>
                <w:rFonts w:hint="default" w:ascii="Times New Roman" w:hAnsi="Times New Roman" w:eastAsia="宋体" w:cs="Times New Roman"/>
                <w:szCs w:val="21"/>
              </w:rPr>
            </w:pPr>
            <w:r>
              <w:rPr>
                <w:rFonts w:hint="default" w:ascii="Times New Roman" w:hAnsi="Times New Roman" w:cs="Times New Roman"/>
                <w:color w:val="000000"/>
                <w:szCs w:val="21"/>
              </w:rPr>
              <w:t>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809" w:type="dxa"/>
            <w:shd w:val="clear" w:color="auto" w:fill="auto"/>
            <w:noWrap w:val="0"/>
            <w:vAlign w:val="top"/>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合计</w:t>
            </w:r>
          </w:p>
        </w:tc>
        <w:tc>
          <w:tcPr>
            <w:tcW w:w="1432" w:type="dxa"/>
            <w:shd w:val="clear" w:color="auto" w:fill="auto"/>
            <w:noWrap w:val="0"/>
            <w:vAlign w:val="center"/>
          </w:tcPr>
          <w:p>
            <w:pPr>
              <w:jc w:val="center"/>
              <w:rPr>
                <w:rFonts w:hint="default" w:ascii="Times New Roman" w:hAnsi="Times New Roman" w:eastAsia="宋体" w:cs="Times New Roman"/>
                <w:b/>
                <w:bCs/>
                <w:szCs w:val="21"/>
              </w:rPr>
            </w:pPr>
            <w:r>
              <w:rPr>
                <w:rFonts w:hint="default" w:ascii="Times New Roman" w:hAnsi="Times New Roman" w:cs="Times New Roman"/>
                <w:b/>
                <w:bCs/>
                <w:color w:val="000000"/>
                <w:szCs w:val="21"/>
              </w:rPr>
              <w:t>3,481,035,016</w:t>
            </w:r>
          </w:p>
        </w:tc>
        <w:tc>
          <w:tcPr>
            <w:tcW w:w="1021" w:type="dxa"/>
            <w:shd w:val="clear" w:color="auto" w:fill="auto"/>
            <w:noWrap w:val="0"/>
            <w:vAlign w:val="center"/>
          </w:tcPr>
          <w:p>
            <w:pPr>
              <w:jc w:val="center"/>
              <w:rPr>
                <w:rFonts w:hint="default" w:ascii="Times New Roman" w:hAnsi="Times New Roman" w:eastAsia="宋体" w:cs="Times New Roman"/>
                <w:b/>
                <w:bCs/>
                <w:szCs w:val="21"/>
              </w:rPr>
            </w:pPr>
            <w:r>
              <w:rPr>
                <w:rFonts w:hint="default" w:ascii="Times New Roman" w:hAnsi="Times New Roman" w:cs="Times New Roman"/>
                <w:b/>
                <w:bCs/>
                <w:color w:val="000000"/>
                <w:szCs w:val="21"/>
              </w:rPr>
              <w:t>100.00%</w:t>
            </w:r>
          </w:p>
        </w:tc>
        <w:tc>
          <w:tcPr>
            <w:tcW w:w="1416" w:type="dxa"/>
            <w:shd w:val="clear" w:color="auto" w:fill="auto"/>
            <w:noWrap w:val="0"/>
            <w:vAlign w:val="center"/>
          </w:tcPr>
          <w:p>
            <w:pPr>
              <w:jc w:val="center"/>
              <w:rPr>
                <w:rFonts w:hint="default" w:ascii="Times New Roman" w:hAnsi="Times New Roman" w:eastAsia="宋体" w:cs="Times New Roman"/>
                <w:b/>
                <w:bCs/>
                <w:szCs w:val="21"/>
              </w:rPr>
            </w:pPr>
            <w:r>
              <w:rPr>
                <w:rFonts w:hint="default" w:ascii="Times New Roman" w:hAnsi="Times New Roman" w:cs="Times New Roman"/>
                <w:b/>
                <w:bCs/>
                <w:color w:val="000000"/>
                <w:szCs w:val="21"/>
              </w:rPr>
              <w:t>-</w:t>
            </w:r>
          </w:p>
        </w:tc>
        <w:tc>
          <w:tcPr>
            <w:tcW w:w="1596" w:type="dxa"/>
            <w:shd w:val="clear" w:color="auto" w:fill="auto"/>
            <w:noWrap w:val="0"/>
            <w:vAlign w:val="center"/>
          </w:tcPr>
          <w:p>
            <w:pPr>
              <w:jc w:val="center"/>
              <w:rPr>
                <w:rFonts w:hint="default" w:ascii="Times New Roman" w:hAnsi="Times New Roman" w:eastAsia="宋体" w:cs="Times New Roman"/>
                <w:b/>
                <w:bCs/>
                <w:szCs w:val="21"/>
              </w:rPr>
            </w:pPr>
            <w:r>
              <w:rPr>
                <w:rFonts w:hint="default" w:ascii="Times New Roman" w:hAnsi="Times New Roman" w:cs="Times New Roman"/>
                <w:b/>
                <w:bCs/>
                <w:color w:val="000000"/>
                <w:szCs w:val="21"/>
              </w:rPr>
              <w:t>3,481,035,016</w:t>
            </w:r>
          </w:p>
        </w:tc>
        <w:tc>
          <w:tcPr>
            <w:tcW w:w="1022" w:type="dxa"/>
            <w:shd w:val="clear" w:color="auto" w:fill="auto"/>
            <w:noWrap w:val="0"/>
            <w:vAlign w:val="center"/>
          </w:tcPr>
          <w:p>
            <w:pPr>
              <w:jc w:val="center"/>
              <w:rPr>
                <w:rFonts w:hint="default" w:ascii="Times New Roman" w:hAnsi="Times New Roman" w:eastAsia="宋体" w:cs="Times New Roman"/>
                <w:b/>
                <w:bCs/>
                <w:szCs w:val="21"/>
              </w:rPr>
            </w:pPr>
            <w:r>
              <w:rPr>
                <w:rFonts w:hint="default" w:ascii="Times New Roman" w:hAnsi="Times New Roman" w:cs="Times New Roman"/>
                <w:b/>
                <w:bCs/>
                <w:color w:val="000000"/>
                <w:szCs w:val="21"/>
              </w:rPr>
              <w:t>100.00%</w:t>
            </w:r>
          </w:p>
        </w:tc>
      </w:tr>
    </w:tbl>
    <w:p>
      <w:pPr>
        <w:spacing w:line="380" w:lineRule="exact"/>
        <w:ind w:firstLine="482" w:firstLineChars="200"/>
        <w:rPr>
          <w:rFonts w:hint="default" w:ascii="Times New Roman" w:hAnsi="Times New Roman" w:eastAsia="宋体" w:cs="Times New Roman"/>
          <w:b/>
          <w:sz w:val="24"/>
          <w:szCs w:val="24"/>
        </w:rPr>
      </w:pPr>
      <w:r>
        <w:rPr>
          <w:rFonts w:hint="eastAsia" w:cs="Times New Roman"/>
          <w:b/>
          <w:sz w:val="24"/>
          <w:szCs w:val="24"/>
          <w:lang w:val="en-US" w:eastAsia="zh-CN"/>
        </w:rPr>
        <w:t>七</w:t>
      </w:r>
      <w:r>
        <w:rPr>
          <w:rFonts w:hint="default" w:ascii="Times New Roman" w:hAnsi="Times New Roman" w:eastAsia="宋体" w:cs="Times New Roman"/>
          <w:b/>
          <w:sz w:val="24"/>
          <w:szCs w:val="24"/>
        </w:rPr>
        <w:t>、保荐机构核查意见</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经核查，保荐人中信建投证券股份有限公司认为：</w:t>
      </w:r>
    </w:p>
    <w:p>
      <w:pPr>
        <w:spacing w:line="380" w:lineRule="exact"/>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公司本次限售股份上市流通申请的股份数量、上市流通时间符合《证券发行上市保荐业务管理办法》《深圳证券交易所股票上市规则》《深圳证券交易所上市公司自律监管指引第1号——主板上市公司规范运作》等相关规定要求；截至本核查意见出具之日，本次解除限售的股东均履行了本次发行中的相关股票限售承诺；公司关于本次</w:t>
      </w:r>
      <w:r>
        <w:rPr>
          <w:rFonts w:hint="eastAsia" w:cs="Times New Roman"/>
          <w:color w:val="000000"/>
          <w:sz w:val="24"/>
          <w:szCs w:val="24"/>
          <w:lang w:eastAsia="zh-CN"/>
        </w:rPr>
        <w:t>解除</w:t>
      </w:r>
      <w:r>
        <w:rPr>
          <w:rFonts w:hint="default" w:ascii="Times New Roman" w:hAnsi="Times New Roman" w:eastAsia="宋体" w:cs="Times New Roman"/>
          <w:color w:val="000000"/>
          <w:sz w:val="24"/>
          <w:szCs w:val="24"/>
        </w:rPr>
        <w:t>股份限售相关的信息披露真实、准确、完整。综上，保荐人对公司本次限售股</w:t>
      </w:r>
      <w:r>
        <w:rPr>
          <w:rFonts w:hint="eastAsia" w:cs="Times New Roman"/>
          <w:color w:val="000000"/>
          <w:sz w:val="24"/>
          <w:szCs w:val="24"/>
          <w:lang w:eastAsia="zh-CN"/>
        </w:rPr>
        <w:t>份</w:t>
      </w:r>
      <w:r>
        <w:rPr>
          <w:rFonts w:hint="default" w:ascii="Times New Roman" w:hAnsi="Times New Roman" w:eastAsia="宋体" w:cs="Times New Roman"/>
          <w:color w:val="000000"/>
          <w:sz w:val="24"/>
          <w:szCs w:val="24"/>
        </w:rPr>
        <w:t>解除限售并上市流通事项无异议。</w:t>
      </w:r>
    </w:p>
    <w:bookmarkEnd w:id="0"/>
    <w:p>
      <w:pPr>
        <w:spacing w:line="380" w:lineRule="exact"/>
        <w:ind w:firstLine="482" w:firstLineChars="200"/>
        <w:rPr>
          <w:rFonts w:hint="default" w:ascii="Times New Roman" w:hAnsi="Times New Roman" w:eastAsia="宋体" w:cs="Times New Roman"/>
          <w:b/>
          <w:sz w:val="24"/>
          <w:szCs w:val="24"/>
        </w:rPr>
      </w:pPr>
      <w:r>
        <w:rPr>
          <w:rFonts w:hint="eastAsia" w:cs="Times New Roman"/>
          <w:b/>
          <w:sz w:val="24"/>
          <w:szCs w:val="24"/>
          <w:lang w:val="en-US" w:eastAsia="zh-CN"/>
        </w:rPr>
        <w:t>八</w:t>
      </w:r>
      <w:r>
        <w:rPr>
          <w:rFonts w:hint="default" w:ascii="Times New Roman" w:hAnsi="Times New Roman" w:eastAsia="宋体" w:cs="Times New Roman"/>
          <w:b/>
          <w:sz w:val="24"/>
          <w:szCs w:val="24"/>
        </w:rPr>
        <w:t>、备查文件</w:t>
      </w:r>
    </w:p>
    <w:p>
      <w:pPr>
        <w:spacing w:line="380" w:lineRule="exact"/>
        <w:ind w:firstLine="480" w:firstLineChars="200"/>
        <w:rPr>
          <w:rFonts w:hint="default" w:ascii="Times New Roman" w:hAnsi="Times New Roman" w:eastAsia="宋体" w:cs="Times New Roman"/>
          <w:sz w:val="24"/>
        </w:rPr>
      </w:pPr>
      <w:bookmarkStart w:id="3" w:name="_Hlk107824294"/>
      <w:r>
        <w:rPr>
          <w:rFonts w:hint="default" w:ascii="Times New Roman" w:hAnsi="Times New Roman" w:eastAsia="宋体" w:cs="Times New Roman"/>
          <w:sz w:val="24"/>
        </w:rPr>
        <w:t>1</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公司限售股份解除限售申请表；</w:t>
      </w:r>
    </w:p>
    <w:p>
      <w:pPr>
        <w:keepNext w:val="0"/>
        <w:keepLines w:val="0"/>
        <w:pageBreakBefore w:val="0"/>
        <w:widowControl w:val="0"/>
        <w:kinsoku/>
        <w:wordWrap/>
        <w:overflowPunct/>
        <w:topLinePunct w:val="0"/>
        <w:bidi w:val="0"/>
        <w:spacing w:line="38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rPr>
        <w:t>2</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公司股本结构表</w:t>
      </w:r>
      <w:r>
        <w:rPr>
          <w:rFonts w:hint="default" w:ascii="Times New Roman" w:hAnsi="Times New Roman" w:eastAsia="宋体" w:cs="Times New Roman"/>
          <w:sz w:val="24"/>
          <w:lang w:eastAsia="zh-CN"/>
        </w:rPr>
        <w:t>；</w:t>
      </w:r>
    </w:p>
    <w:p>
      <w:pPr>
        <w:keepNext w:val="0"/>
        <w:keepLines w:val="0"/>
        <w:pageBreakBefore w:val="0"/>
        <w:widowControl w:val="0"/>
        <w:kinsoku/>
        <w:wordWrap/>
        <w:overflowPunct/>
        <w:topLinePunct w:val="0"/>
        <w:bidi w:val="0"/>
        <w:spacing w:line="38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 xml:space="preserve">3. </w:t>
      </w:r>
      <w:r>
        <w:rPr>
          <w:rFonts w:hint="default" w:ascii="Times New Roman" w:hAnsi="Times New Roman" w:eastAsia="宋体" w:cs="Times New Roman"/>
          <w:sz w:val="24"/>
        </w:rPr>
        <w:t>限售股份明细表</w:t>
      </w:r>
      <w:r>
        <w:rPr>
          <w:rFonts w:hint="default" w:ascii="Times New Roman" w:hAnsi="Times New Roman" w:eastAsia="宋体" w:cs="Times New Roman"/>
          <w:sz w:val="24"/>
          <w:lang w:eastAsia="zh-CN"/>
        </w:rPr>
        <w:t>；</w:t>
      </w:r>
    </w:p>
    <w:p>
      <w:pPr>
        <w:keepNext w:val="0"/>
        <w:keepLines w:val="0"/>
        <w:pageBreakBefore w:val="0"/>
        <w:widowControl w:val="0"/>
        <w:kinsoku/>
        <w:wordWrap/>
        <w:overflowPunct/>
        <w:topLinePunct w:val="0"/>
        <w:bidi w:val="0"/>
        <w:spacing w:line="380" w:lineRule="exact"/>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 公司董事会说明；</w:t>
      </w:r>
    </w:p>
    <w:p>
      <w:pPr>
        <w:spacing w:line="3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《中信建投证券股份有限公司关于国家能源集团长源电力股份有限公司向特定对象发行股票部分限售股份解除限售上市流通的核查意见》</w:t>
      </w:r>
      <w:bookmarkEnd w:id="3"/>
      <w:r>
        <w:rPr>
          <w:rFonts w:hint="default" w:ascii="Times New Roman" w:hAnsi="Times New Roman" w:eastAsia="宋体" w:cs="Times New Roman"/>
          <w:sz w:val="24"/>
        </w:rPr>
        <w:t>。</w:t>
      </w:r>
    </w:p>
    <w:p>
      <w:pPr>
        <w:autoSpaceDE w:val="0"/>
        <w:autoSpaceDN w:val="0"/>
        <w:adjustRightInd w:val="0"/>
        <w:snapToGrid w:val="0"/>
        <w:spacing w:line="380" w:lineRule="exact"/>
        <w:ind w:right="-58" w:firstLine="480" w:firstLineChars="200"/>
        <w:jc w:val="left"/>
        <w:rPr>
          <w:rFonts w:hint="default" w:ascii="Times New Roman" w:hAnsi="Times New Roman" w:eastAsia="宋体" w:cs="Times New Roman"/>
          <w:color w:val="000000"/>
          <w:kern w:val="0"/>
          <w:sz w:val="24"/>
          <w:szCs w:val="24"/>
        </w:rPr>
      </w:pPr>
    </w:p>
    <w:p>
      <w:pPr>
        <w:spacing w:line="380" w:lineRule="exact"/>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rPr>
        <w:t>特此公告。</w:t>
      </w:r>
    </w:p>
    <w:p>
      <w:pPr>
        <w:autoSpaceDE w:val="0"/>
        <w:autoSpaceDN w:val="0"/>
        <w:adjustRightInd w:val="0"/>
        <w:snapToGrid w:val="0"/>
        <w:spacing w:line="380" w:lineRule="exact"/>
        <w:ind w:right="-58"/>
        <w:jc w:val="right"/>
        <w:rPr>
          <w:rFonts w:hint="default" w:ascii="Times New Roman" w:hAnsi="Times New Roman" w:eastAsia="宋体" w:cs="Times New Roman"/>
          <w:bCs/>
          <w:spacing w:val="1"/>
          <w:kern w:val="0"/>
          <w:sz w:val="24"/>
          <w:szCs w:val="24"/>
        </w:rPr>
      </w:pPr>
    </w:p>
    <w:p>
      <w:pPr>
        <w:autoSpaceDE w:val="0"/>
        <w:autoSpaceDN w:val="0"/>
        <w:adjustRightInd w:val="0"/>
        <w:snapToGrid w:val="0"/>
        <w:spacing w:line="380" w:lineRule="exact"/>
        <w:ind w:right="-58"/>
        <w:jc w:val="right"/>
        <w:rPr>
          <w:rFonts w:hint="default" w:ascii="Times New Roman" w:hAnsi="Times New Roman" w:eastAsia="宋体" w:cs="Times New Roman"/>
          <w:bCs/>
          <w:spacing w:val="1"/>
          <w:kern w:val="0"/>
          <w:sz w:val="24"/>
          <w:szCs w:val="24"/>
        </w:rPr>
      </w:pPr>
    </w:p>
    <w:p>
      <w:pPr>
        <w:autoSpaceDE w:val="0"/>
        <w:autoSpaceDN w:val="0"/>
        <w:adjustRightInd w:val="0"/>
        <w:snapToGrid w:val="0"/>
        <w:spacing w:line="380" w:lineRule="exact"/>
        <w:ind w:right="-58"/>
        <w:jc w:val="right"/>
        <w:rPr>
          <w:rFonts w:hint="default" w:ascii="Times New Roman" w:hAnsi="Times New Roman" w:eastAsia="宋体" w:cs="Times New Roman"/>
          <w:bCs/>
          <w:spacing w:val="1"/>
          <w:kern w:val="0"/>
          <w:sz w:val="24"/>
          <w:szCs w:val="24"/>
        </w:rPr>
      </w:pPr>
      <w:r>
        <w:rPr>
          <w:rFonts w:hint="default" w:ascii="Times New Roman" w:hAnsi="Times New Roman" w:eastAsia="宋体" w:cs="Times New Roman"/>
          <w:bCs/>
          <w:spacing w:val="1"/>
          <w:kern w:val="0"/>
          <w:sz w:val="24"/>
          <w:szCs w:val="24"/>
        </w:rPr>
        <w:t>国家能源集团长源电力股份有限公司董事会</w:t>
      </w:r>
    </w:p>
    <w:p>
      <w:pPr>
        <w:spacing w:line="380" w:lineRule="exact"/>
        <w:ind w:right="968"/>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spacing w:val="1"/>
          <w:kern w:val="0"/>
          <w:sz w:val="24"/>
          <w:szCs w:val="24"/>
        </w:rPr>
        <w:t xml:space="preserve">                                      2025年</w:t>
      </w:r>
      <w:r>
        <w:rPr>
          <w:rFonts w:hint="default" w:ascii="Times New Roman" w:hAnsi="Times New Roman" w:eastAsia="宋体" w:cs="Times New Roman"/>
          <w:bCs/>
          <w:spacing w:val="1"/>
          <w:kern w:val="0"/>
          <w:sz w:val="24"/>
          <w:szCs w:val="24"/>
          <w:lang w:val="en-US" w:eastAsia="zh-CN"/>
        </w:rPr>
        <w:t>5</w:t>
      </w:r>
      <w:r>
        <w:rPr>
          <w:rFonts w:hint="default" w:ascii="Times New Roman" w:hAnsi="Times New Roman" w:eastAsia="宋体" w:cs="Times New Roman"/>
          <w:bCs/>
          <w:spacing w:val="1"/>
          <w:kern w:val="0"/>
          <w:sz w:val="24"/>
          <w:szCs w:val="24"/>
        </w:rPr>
        <w:t>月</w:t>
      </w:r>
      <w:r>
        <w:rPr>
          <w:rFonts w:hint="default" w:ascii="Times New Roman" w:hAnsi="Times New Roman" w:eastAsia="宋体" w:cs="Times New Roman"/>
          <w:bCs/>
          <w:spacing w:val="1"/>
          <w:kern w:val="0"/>
          <w:sz w:val="24"/>
          <w:szCs w:val="24"/>
          <w:lang w:val="en-US" w:eastAsia="zh-CN"/>
        </w:rPr>
        <w:t>2</w:t>
      </w:r>
      <w:r>
        <w:rPr>
          <w:rFonts w:hint="eastAsia" w:cs="Times New Roman"/>
          <w:bCs/>
          <w:spacing w:val="1"/>
          <w:kern w:val="0"/>
          <w:sz w:val="24"/>
          <w:szCs w:val="24"/>
          <w:lang w:val="en-US" w:eastAsia="zh-CN"/>
        </w:rPr>
        <w:t>9</w:t>
      </w:r>
      <w:bookmarkStart w:id="4" w:name="_GoBack"/>
      <w:bookmarkEnd w:id="4"/>
      <w:r>
        <w:rPr>
          <w:rFonts w:hint="default" w:ascii="Times New Roman" w:hAnsi="Times New Roman" w:eastAsia="宋体" w:cs="Times New Roman"/>
          <w:bCs/>
          <w:spacing w:val="1"/>
          <w:kern w:val="0"/>
          <w:sz w:val="24"/>
          <w:szCs w:val="24"/>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8A"/>
    <w:rsid w:val="00033C9E"/>
    <w:rsid w:val="0007660D"/>
    <w:rsid w:val="000D5AEF"/>
    <w:rsid w:val="000E1702"/>
    <w:rsid w:val="00136D8A"/>
    <w:rsid w:val="001A21EA"/>
    <w:rsid w:val="001A3400"/>
    <w:rsid w:val="001D0184"/>
    <w:rsid w:val="00223D5F"/>
    <w:rsid w:val="00245D34"/>
    <w:rsid w:val="002514E0"/>
    <w:rsid w:val="002B2189"/>
    <w:rsid w:val="002C516B"/>
    <w:rsid w:val="00307EB3"/>
    <w:rsid w:val="0038378A"/>
    <w:rsid w:val="00397A30"/>
    <w:rsid w:val="003B36BF"/>
    <w:rsid w:val="00470F3D"/>
    <w:rsid w:val="00511AE6"/>
    <w:rsid w:val="00583448"/>
    <w:rsid w:val="00632B44"/>
    <w:rsid w:val="00684594"/>
    <w:rsid w:val="006A1BF0"/>
    <w:rsid w:val="006E4640"/>
    <w:rsid w:val="006F4DC1"/>
    <w:rsid w:val="006F515B"/>
    <w:rsid w:val="007278D5"/>
    <w:rsid w:val="00732E4A"/>
    <w:rsid w:val="007650A7"/>
    <w:rsid w:val="007C79CB"/>
    <w:rsid w:val="007D74FB"/>
    <w:rsid w:val="008E5057"/>
    <w:rsid w:val="00907FAF"/>
    <w:rsid w:val="00924D71"/>
    <w:rsid w:val="00925AB4"/>
    <w:rsid w:val="0094526A"/>
    <w:rsid w:val="00953BEA"/>
    <w:rsid w:val="0095641A"/>
    <w:rsid w:val="00957DE9"/>
    <w:rsid w:val="009706BA"/>
    <w:rsid w:val="00973378"/>
    <w:rsid w:val="009B6FD6"/>
    <w:rsid w:val="009C0133"/>
    <w:rsid w:val="009D39AB"/>
    <w:rsid w:val="009E63F5"/>
    <w:rsid w:val="00A66713"/>
    <w:rsid w:val="00A84257"/>
    <w:rsid w:val="00AB62D0"/>
    <w:rsid w:val="00AC25AA"/>
    <w:rsid w:val="00AD71A7"/>
    <w:rsid w:val="00B14287"/>
    <w:rsid w:val="00BA178D"/>
    <w:rsid w:val="00BA46F4"/>
    <w:rsid w:val="00BE020A"/>
    <w:rsid w:val="00C46951"/>
    <w:rsid w:val="00C80FF2"/>
    <w:rsid w:val="00C9534E"/>
    <w:rsid w:val="00C97388"/>
    <w:rsid w:val="00CB110F"/>
    <w:rsid w:val="00CF1D4C"/>
    <w:rsid w:val="00D466E2"/>
    <w:rsid w:val="00D86C08"/>
    <w:rsid w:val="00D95682"/>
    <w:rsid w:val="00E10227"/>
    <w:rsid w:val="00E13191"/>
    <w:rsid w:val="00E21B3F"/>
    <w:rsid w:val="00ED7880"/>
    <w:rsid w:val="00F01493"/>
    <w:rsid w:val="00F24F9D"/>
    <w:rsid w:val="00F774C3"/>
    <w:rsid w:val="00FA120F"/>
    <w:rsid w:val="00FC4CDB"/>
    <w:rsid w:val="05140AD2"/>
    <w:rsid w:val="063E4708"/>
    <w:rsid w:val="08EF4E54"/>
    <w:rsid w:val="0A9362D9"/>
    <w:rsid w:val="0F676E58"/>
    <w:rsid w:val="11550AF5"/>
    <w:rsid w:val="172608A4"/>
    <w:rsid w:val="173A3666"/>
    <w:rsid w:val="20E1362E"/>
    <w:rsid w:val="21163681"/>
    <w:rsid w:val="21677A63"/>
    <w:rsid w:val="3124470B"/>
    <w:rsid w:val="4BF77FF5"/>
    <w:rsid w:val="4CB13CF8"/>
    <w:rsid w:val="50454F35"/>
    <w:rsid w:val="51160AB0"/>
    <w:rsid w:val="521B6B5A"/>
    <w:rsid w:val="556773BF"/>
    <w:rsid w:val="55BB367D"/>
    <w:rsid w:val="5CC80FF9"/>
    <w:rsid w:val="65C53A56"/>
    <w:rsid w:val="66D75A34"/>
    <w:rsid w:val="69E542D5"/>
    <w:rsid w:val="6E582052"/>
    <w:rsid w:val="714645B4"/>
    <w:rsid w:val="71F33A40"/>
    <w:rsid w:val="754F2760"/>
    <w:rsid w:val="78012D43"/>
    <w:rsid w:val="7AFC5A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unhideWhenUsed/>
    <w:qFormat/>
    <w:uiPriority w:val="99"/>
    <w:pPr>
      <w:snapToGrid w:val="0"/>
      <w:jc w:val="left"/>
    </w:pPr>
    <w:rPr>
      <w:sz w:val="18"/>
      <w:szCs w:val="18"/>
    </w:rPr>
  </w:style>
  <w:style w:type="paragraph" w:styleId="7">
    <w:name w:val="Normal (Web)"/>
    <w:basedOn w:val="1"/>
    <w:unhideWhenUsed/>
    <w:qFormat/>
    <w:uiPriority w:val="99"/>
    <w:rPr>
      <w:rFonts w:ascii="Times New Roman" w:hAnsi="Times New Roman" w:cs="Times New Roman"/>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unhideWhenUsed/>
    <w:qFormat/>
    <w:uiPriority w:val="99"/>
    <w:rPr>
      <w:vertAlign w:val="superscript"/>
    </w:rPr>
  </w:style>
  <w:style w:type="character" w:customStyle="1" w:styleId="12">
    <w:name w:val="标题 1 字符"/>
    <w:link w:val="2"/>
    <w:qFormat/>
    <w:uiPriority w:val="9"/>
    <w:rPr>
      <w:b/>
      <w:bCs/>
      <w:kern w:val="44"/>
      <w:sz w:val="44"/>
      <w:szCs w:val="44"/>
    </w:rPr>
  </w:style>
  <w:style w:type="character" w:customStyle="1" w:styleId="13">
    <w:name w:val="标题 2 字符"/>
    <w:link w:val="3"/>
    <w:qFormat/>
    <w:uiPriority w:val="9"/>
    <w:rPr>
      <w:rFonts w:ascii="等线 Light" w:hAnsi="等线 Light" w:eastAsia="等线 Light" w:cs="Times New Roman"/>
      <w:b/>
      <w:bCs/>
      <w:sz w:val="32"/>
      <w:szCs w:val="32"/>
    </w:rPr>
  </w:style>
  <w:style w:type="character" w:customStyle="1" w:styleId="14">
    <w:name w:val="页脚 字符"/>
    <w:link w:val="4"/>
    <w:qFormat/>
    <w:uiPriority w:val="99"/>
    <w:rPr>
      <w:sz w:val="18"/>
      <w:szCs w:val="18"/>
    </w:rPr>
  </w:style>
  <w:style w:type="character" w:customStyle="1" w:styleId="15">
    <w:name w:val="页眉 字符"/>
    <w:link w:val="5"/>
    <w:qFormat/>
    <w:uiPriority w:val="99"/>
    <w:rPr>
      <w:sz w:val="18"/>
      <w:szCs w:val="18"/>
    </w:rPr>
  </w:style>
  <w:style w:type="character" w:customStyle="1" w:styleId="16">
    <w:name w:val="脚注文本 字符"/>
    <w:link w:val="6"/>
    <w:semiHidden/>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533</Words>
  <Characters>3039</Characters>
  <Lines>25</Lines>
  <Paragraphs>7</Paragraphs>
  <TotalTime>5</TotalTime>
  <ScaleCrop>false</ScaleCrop>
  <LinksUpToDate>false</LinksUpToDate>
  <CharactersWithSpaces>3565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2022-07-06T07:01:00Z</dcterms:created>
  <dc:creator>浩东 何</dc:creator>
  <cp:lastModifiedBy>叶建兵</cp:lastModifiedBy>
  <dcterms:modified xsi:type="dcterms:W3CDTF">2025-05-28T08:41:42Z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6B13A2B0762445C0B6D4986C0BCE4C19</vt:lpwstr>
  </property>
</Properties>
</file>