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contextualSpacing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证券代码：000966       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证券简称：长源电力     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hint="eastAsia" w:cs="Times New Roman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</w:rPr>
        <w:t>公告编号：</w:t>
      </w:r>
      <w:r>
        <w:rPr>
          <w:rFonts w:hint="eastAsia" w:cs="Times New Roman"/>
          <w:color w:val="000000"/>
          <w:sz w:val="24"/>
          <w:szCs w:val="24"/>
          <w:highlight w:val="none"/>
          <w:lang w:val="en-US" w:eastAsia="zh-CN"/>
        </w:rPr>
        <w:t>2023-093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  <w:lang w:eastAsia="zh-CN"/>
        </w:rPr>
        <w:t>国家能源集团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长源电力股份有限公司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2023年前三季度业绩预告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80" w:lineRule="exact"/>
        <w:contextualSpacing/>
        <w:textAlignment w:val="auto"/>
        <w:rPr>
          <w:rFonts w:hint="default" w:ascii="Times New Roman" w:hAnsi="Times New Roman" w:eastAsia="宋体" w:cs="Times New Roman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eastAsia="zh-CN"/>
        </w:rPr>
        <w:t>一、本期业绩预计情况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（一）业绩预告期间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年1月1日–202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（二）业绩预告情况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预计净利润同向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上升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980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项  目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本报告期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上年同期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归属于上市公司股东的净利润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盈利：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,100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,10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盈利：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25,984.81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比上年同期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增长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35.14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69.77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</w:tc>
        <w:tc>
          <w:tcPr>
            <w:tcW w:w="2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扣除非经常性损益后的净利润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盈利：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,900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万元–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,900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盈利：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24,917.18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比上年同期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增长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40.40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76.52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%</w:t>
            </w:r>
          </w:p>
        </w:tc>
        <w:tc>
          <w:tcPr>
            <w:tcW w:w="2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基本每股收益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盈利：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0.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元/股–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t>0.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550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元/股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盈利：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0.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0951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元/股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其中，本年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7月1日—9月30日的业绩变动情况：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3980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项  目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本报告期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上年同期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归属于上市公司股东的净利润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盈利：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012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万元–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012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盈利：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16,240.52万元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比上年同期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增长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41.69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%–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97.11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扣除非经常性损益后的净利润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盈利：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639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万元–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639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盈利：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16,06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8.00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比上年同期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增长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40.90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%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/>
              </w:rPr>
              <w:t>–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96.91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2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基本每股收益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盈利：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/>
              </w:rPr>
              <w:t>0.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0837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元/股–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/>
              </w:rPr>
              <w:t>0.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1164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元/股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盈利：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0.0594元/股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二、与会计师事务所沟通情况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本次业绩预告相关数据是公司财务部门初步核算的结果，未经会计师事务所预审计，公司已就业绩预告有关事项与会计师事务所进行了预沟通，公司与会计师事务所在本次业绩预告方面不存在分歧。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三、业绩变动原因说明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公司净利润较上年同期增长主要原因：入炉综合标煤单价同比下降；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水电发电量同比增加；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新建光伏项目陆续投产增加利润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上述原因致公司净利润同比增加。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四、其他相关说明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本次业绩预告数据为公司初步核算结果，尚存在不确定性，具体数据将在公司2023年第三季度报告中详细披露，敬请广大投资者谨慎决策，注意投资风险。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特此公告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right"/>
        <w:textAlignment w:val="auto"/>
        <w:rPr>
          <w:rFonts w:hint="default" w:ascii="Times New Roman" w:hAnsi="Times New Roman" w:cs="Times New Roman"/>
          <w:color w:val="000000"/>
          <w:sz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contextualSpacing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  <w:lang w:eastAsia="zh-CN"/>
        </w:rPr>
        <w:t>国家能源集团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长源电力股份有限公司董事会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720" w:firstLine="5040" w:firstLineChars="2100"/>
        <w:contextualSpacing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20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日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F6"/>
    <w:rsid w:val="000F30F8"/>
    <w:rsid w:val="001C15AA"/>
    <w:rsid w:val="002E6CA0"/>
    <w:rsid w:val="00373A1F"/>
    <w:rsid w:val="003778AF"/>
    <w:rsid w:val="003B228D"/>
    <w:rsid w:val="00407C6C"/>
    <w:rsid w:val="00415AC6"/>
    <w:rsid w:val="004545AE"/>
    <w:rsid w:val="00470A7F"/>
    <w:rsid w:val="004E0002"/>
    <w:rsid w:val="00595E78"/>
    <w:rsid w:val="005A6B7D"/>
    <w:rsid w:val="006D7D45"/>
    <w:rsid w:val="0079402C"/>
    <w:rsid w:val="007F305A"/>
    <w:rsid w:val="00817009"/>
    <w:rsid w:val="00921479"/>
    <w:rsid w:val="00A52865"/>
    <w:rsid w:val="00A924DF"/>
    <w:rsid w:val="00B84E75"/>
    <w:rsid w:val="00BF3796"/>
    <w:rsid w:val="00CE065F"/>
    <w:rsid w:val="00D63EF6"/>
    <w:rsid w:val="00D7425F"/>
    <w:rsid w:val="00D9102A"/>
    <w:rsid w:val="00DB4F04"/>
    <w:rsid w:val="00F32491"/>
    <w:rsid w:val="00F83ED7"/>
    <w:rsid w:val="02571FE0"/>
    <w:rsid w:val="034B303A"/>
    <w:rsid w:val="03C14CDE"/>
    <w:rsid w:val="04150C01"/>
    <w:rsid w:val="04C33D3B"/>
    <w:rsid w:val="054D038E"/>
    <w:rsid w:val="077E2E7E"/>
    <w:rsid w:val="079C44FE"/>
    <w:rsid w:val="07D97FB6"/>
    <w:rsid w:val="08650AA4"/>
    <w:rsid w:val="09323FCD"/>
    <w:rsid w:val="09AE1421"/>
    <w:rsid w:val="0A0F61B1"/>
    <w:rsid w:val="0AAC5185"/>
    <w:rsid w:val="0B994DFD"/>
    <w:rsid w:val="0C184B7D"/>
    <w:rsid w:val="0C1B3EAE"/>
    <w:rsid w:val="0D2E27CF"/>
    <w:rsid w:val="0DC75A04"/>
    <w:rsid w:val="0EB81346"/>
    <w:rsid w:val="0FEA2997"/>
    <w:rsid w:val="0FFB705A"/>
    <w:rsid w:val="0FFE08C3"/>
    <w:rsid w:val="10920CD9"/>
    <w:rsid w:val="10983875"/>
    <w:rsid w:val="10F31488"/>
    <w:rsid w:val="1184362F"/>
    <w:rsid w:val="123965B1"/>
    <w:rsid w:val="13E739D1"/>
    <w:rsid w:val="14167D16"/>
    <w:rsid w:val="142E3735"/>
    <w:rsid w:val="145E2EF2"/>
    <w:rsid w:val="14864C5B"/>
    <w:rsid w:val="14F57730"/>
    <w:rsid w:val="155C2498"/>
    <w:rsid w:val="18C2679F"/>
    <w:rsid w:val="197A040F"/>
    <w:rsid w:val="19A53246"/>
    <w:rsid w:val="19CD508E"/>
    <w:rsid w:val="1A86735B"/>
    <w:rsid w:val="1A8758C6"/>
    <w:rsid w:val="1C221554"/>
    <w:rsid w:val="1C3861E9"/>
    <w:rsid w:val="1C413D52"/>
    <w:rsid w:val="1C437024"/>
    <w:rsid w:val="1C6C10A3"/>
    <w:rsid w:val="1C7E0552"/>
    <w:rsid w:val="1CAE3BD6"/>
    <w:rsid w:val="1CCF3871"/>
    <w:rsid w:val="1CF23D6F"/>
    <w:rsid w:val="1CFF7CD8"/>
    <w:rsid w:val="1D3F2B32"/>
    <w:rsid w:val="1F370C66"/>
    <w:rsid w:val="1FE6358C"/>
    <w:rsid w:val="202B2ACC"/>
    <w:rsid w:val="20393195"/>
    <w:rsid w:val="20732A3A"/>
    <w:rsid w:val="20C91A8E"/>
    <w:rsid w:val="2127452F"/>
    <w:rsid w:val="21693339"/>
    <w:rsid w:val="22376005"/>
    <w:rsid w:val="225D5261"/>
    <w:rsid w:val="22E65FDF"/>
    <w:rsid w:val="23142803"/>
    <w:rsid w:val="23282516"/>
    <w:rsid w:val="23C4535E"/>
    <w:rsid w:val="24224C9F"/>
    <w:rsid w:val="25D43215"/>
    <w:rsid w:val="25EE7CCC"/>
    <w:rsid w:val="26376156"/>
    <w:rsid w:val="26BB49E8"/>
    <w:rsid w:val="28B31693"/>
    <w:rsid w:val="29163728"/>
    <w:rsid w:val="297B3918"/>
    <w:rsid w:val="2A1049A8"/>
    <w:rsid w:val="2AD34BE5"/>
    <w:rsid w:val="2AF1096B"/>
    <w:rsid w:val="2C4B323F"/>
    <w:rsid w:val="2CA95107"/>
    <w:rsid w:val="2D7A7C75"/>
    <w:rsid w:val="2D8E4BA3"/>
    <w:rsid w:val="2D9F2759"/>
    <w:rsid w:val="2E995860"/>
    <w:rsid w:val="2ED8732C"/>
    <w:rsid w:val="2F247A39"/>
    <w:rsid w:val="2F8A3921"/>
    <w:rsid w:val="2FA273BB"/>
    <w:rsid w:val="327A777C"/>
    <w:rsid w:val="32DC2AF2"/>
    <w:rsid w:val="331A40BE"/>
    <w:rsid w:val="33B26E23"/>
    <w:rsid w:val="358122A1"/>
    <w:rsid w:val="35D77C6B"/>
    <w:rsid w:val="36D8344F"/>
    <w:rsid w:val="37E44D38"/>
    <w:rsid w:val="37EF36CD"/>
    <w:rsid w:val="3A654204"/>
    <w:rsid w:val="3A873ADF"/>
    <w:rsid w:val="3B261AE8"/>
    <w:rsid w:val="3C511833"/>
    <w:rsid w:val="3C7748E0"/>
    <w:rsid w:val="3CB95051"/>
    <w:rsid w:val="3CF82890"/>
    <w:rsid w:val="3E020397"/>
    <w:rsid w:val="3F6A5E42"/>
    <w:rsid w:val="3FD42855"/>
    <w:rsid w:val="3FD50EDE"/>
    <w:rsid w:val="400740FE"/>
    <w:rsid w:val="40334637"/>
    <w:rsid w:val="40806D02"/>
    <w:rsid w:val="41457697"/>
    <w:rsid w:val="416D4F0B"/>
    <w:rsid w:val="417E671C"/>
    <w:rsid w:val="44660D97"/>
    <w:rsid w:val="4525538B"/>
    <w:rsid w:val="45EB2751"/>
    <w:rsid w:val="46C1659C"/>
    <w:rsid w:val="47E83287"/>
    <w:rsid w:val="48305E26"/>
    <w:rsid w:val="491D788E"/>
    <w:rsid w:val="4960087E"/>
    <w:rsid w:val="49A3333F"/>
    <w:rsid w:val="49F93B82"/>
    <w:rsid w:val="4A996AEE"/>
    <w:rsid w:val="4AFA12F5"/>
    <w:rsid w:val="4B63277C"/>
    <w:rsid w:val="4C66169A"/>
    <w:rsid w:val="4C9B0A5A"/>
    <w:rsid w:val="4E734A20"/>
    <w:rsid w:val="4E781E41"/>
    <w:rsid w:val="50354FC7"/>
    <w:rsid w:val="51CC11CB"/>
    <w:rsid w:val="52871084"/>
    <w:rsid w:val="52FC26F7"/>
    <w:rsid w:val="53351E25"/>
    <w:rsid w:val="53374EAC"/>
    <w:rsid w:val="54577045"/>
    <w:rsid w:val="547D1EDE"/>
    <w:rsid w:val="54D56818"/>
    <w:rsid w:val="551B30A9"/>
    <w:rsid w:val="559E5555"/>
    <w:rsid w:val="56903A69"/>
    <w:rsid w:val="56945C7B"/>
    <w:rsid w:val="56CD6B2F"/>
    <w:rsid w:val="571A5AB4"/>
    <w:rsid w:val="5856435E"/>
    <w:rsid w:val="58632846"/>
    <w:rsid w:val="59852EA8"/>
    <w:rsid w:val="5B2D04B9"/>
    <w:rsid w:val="5B564583"/>
    <w:rsid w:val="5B675DF0"/>
    <w:rsid w:val="5C505821"/>
    <w:rsid w:val="5C906CD9"/>
    <w:rsid w:val="5DCF19FD"/>
    <w:rsid w:val="5DEA4A4D"/>
    <w:rsid w:val="5E9B7D58"/>
    <w:rsid w:val="5ECA56B1"/>
    <w:rsid w:val="5F8109B8"/>
    <w:rsid w:val="60A40CF4"/>
    <w:rsid w:val="60A7327C"/>
    <w:rsid w:val="61D549EB"/>
    <w:rsid w:val="62487A52"/>
    <w:rsid w:val="635C63C5"/>
    <w:rsid w:val="640D59C3"/>
    <w:rsid w:val="64511A4F"/>
    <w:rsid w:val="645F0D98"/>
    <w:rsid w:val="64C82695"/>
    <w:rsid w:val="652B3ED6"/>
    <w:rsid w:val="654149B7"/>
    <w:rsid w:val="66B76500"/>
    <w:rsid w:val="684A5AA5"/>
    <w:rsid w:val="69565CFF"/>
    <w:rsid w:val="69BD53DE"/>
    <w:rsid w:val="69E41518"/>
    <w:rsid w:val="6A105F94"/>
    <w:rsid w:val="6A6D5C81"/>
    <w:rsid w:val="6B1233E8"/>
    <w:rsid w:val="6B164282"/>
    <w:rsid w:val="6B443A39"/>
    <w:rsid w:val="6C315422"/>
    <w:rsid w:val="6D0E24E5"/>
    <w:rsid w:val="6D6830E2"/>
    <w:rsid w:val="6D6F2577"/>
    <w:rsid w:val="6DA44E55"/>
    <w:rsid w:val="6DE14664"/>
    <w:rsid w:val="6E291EA5"/>
    <w:rsid w:val="6E5048B4"/>
    <w:rsid w:val="6E513FB1"/>
    <w:rsid w:val="6E5D4F68"/>
    <w:rsid w:val="6EB07E81"/>
    <w:rsid w:val="6F5B6881"/>
    <w:rsid w:val="703A413A"/>
    <w:rsid w:val="71AB3BDF"/>
    <w:rsid w:val="71D51AF5"/>
    <w:rsid w:val="729754B4"/>
    <w:rsid w:val="72D50035"/>
    <w:rsid w:val="73312101"/>
    <w:rsid w:val="7373248E"/>
    <w:rsid w:val="73CE28CE"/>
    <w:rsid w:val="74880BE7"/>
    <w:rsid w:val="75051CF2"/>
    <w:rsid w:val="764D7193"/>
    <w:rsid w:val="769F17F7"/>
    <w:rsid w:val="76D10CEA"/>
    <w:rsid w:val="76F7354D"/>
    <w:rsid w:val="77467DFE"/>
    <w:rsid w:val="77A65639"/>
    <w:rsid w:val="77A952C0"/>
    <w:rsid w:val="782B44A5"/>
    <w:rsid w:val="7A3F1569"/>
    <w:rsid w:val="7A4310DB"/>
    <w:rsid w:val="7C02027E"/>
    <w:rsid w:val="7D3D1BAC"/>
    <w:rsid w:val="7DF758BD"/>
    <w:rsid w:val="7E5D5112"/>
    <w:rsid w:val="7E6B3AD2"/>
    <w:rsid w:val="7E6B66AB"/>
    <w:rsid w:val="7E806EC5"/>
    <w:rsid w:val="7EBE4F1D"/>
    <w:rsid w:val="7F426B06"/>
    <w:rsid w:val="7F6C4309"/>
    <w:rsid w:val="7FA95C3C"/>
    <w:rsid w:val="7FBD5FAF"/>
    <w:rsid w:val="7FCD6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center"/>
    </w:pPr>
    <w:rPr>
      <w:sz w:val="5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next w:val="6"/>
    <w:qFormat/>
    <w:uiPriority w:val="0"/>
    <w:rPr>
      <w:rFonts w:ascii="Arial" w:hAnsi="Arial" w:eastAsia="宋体" w:cs="Times New Roman"/>
      <w:sz w:val="24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1"/>
    <w:pPr>
      <w:ind w:left="51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国电长源电力股份有限公司</Company>
  <Pages>2</Pages>
  <Words>213</Words>
  <Characters>1220</Characters>
  <Lines>10</Lines>
  <Paragraphs>2</Paragraphs>
  <TotalTime>72</TotalTime>
  <ScaleCrop>false</ScaleCrop>
  <LinksUpToDate>false</LinksUpToDate>
  <CharactersWithSpaces>1431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2016-06-13T08:55:00Z</dcterms:created>
  <dc:creator>毋亮/国电长源电力股份有限公司</dc:creator>
  <cp:lastModifiedBy>盛梦莹</cp:lastModifiedBy>
  <dcterms:modified xsi:type="dcterms:W3CDTF">2023-10-13T07:36:56Z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27C605ECE28748969C5BCC46A5AE6071</vt:lpwstr>
  </property>
</Properties>
</file>