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sz w:val="24"/>
          <w:szCs w:val="24"/>
        </w:rPr>
      </w:pPr>
      <w:bookmarkStart w:id="0" w:name="_GoBack"/>
      <w:bookmarkEnd w:id="0"/>
      <w:r>
        <w:rPr>
          <w:sz w:val="24"/>
          <w:szCs w:val="24"/>
        </w:rPr>
        <w:t xml:space="preserve">股票代码：000966         证券简称：长源电力       </w:t>
      </w:r>
      <w:r>
        <w:rPr>
          <w:rFonts w:hint="eastAsia"/>
          <w:sz w:val="24"/>
          <w:szCs w:val="24"/>
        </w:rPr>
        <w:t xml:space="preserve"> </w:t>
      </w:r>
      <w:r>
        <w:rPr>
          <w:sz w:val="24"/>
          <w:szCs w:val="24"/>
        </w:rPr>
        <w:t>公告编号：</w:t>
      </w:r>
      <w:sdt>
        <w:sdtPr>
          <w:rPr>
            <w:sz w:val="24"/>
            <w:szCs w:val="24"/>
          </w:rPr>
          <w:alias w:val="临时公告编号"/>
          <w:tag w:val="_GBC_c8d7e6ba73dc43c085efbea978881218"/>
          <w:id w:val="-558859181"/>
          <w:placeholder>
            <w:docPart w:val="F3A46ED52422492EACF0B23AB05A9311"/>
          </w:placeholder>
        </w:sdtPr>
        <w:sdtEndPr>
          <w:rPr>
            <w:sz w:val="24"/>
            <w:szCs w:val="24"/>
          </w:rPr>
        </w:sdtEndPr>
        <w:sdtContent>
          <w:r>
            <w:rPr>
              <w:sz w:val="24"/>
              <w:szCs w:val="24"/>
            </w:rPr>
            <w:t>2023-</w:t>
          </w:r>
          <w:r>
            <w:rPr>
              <w:rFonts w:hint="eastAsia"/>
              <w:sz w:val="24"/>
              <w:szCs w:val="24"/>
            </w:rPr>
            <w:t>054</w:t>
          </w:r>
        </w:sdtContent>
      </w:sdt>
    </w:p>
    <w:p>
      <w:pPr>
        <w:adjustRightInd w:val="0"/>
        <w:snapToGrid w:val="0"/>
        <w:spacing w:line="440" w:lineRule="exact"/>
        <w:jc w:val="center"/>
        <w:rPr>
          <w:rFonts w:eastAsia="方正小标宋简体"/>
          <w:sz w:val="32"/>
          <w:szCs w:val="32"/>
        </w:rPr>
      </w:pPr>
    </w:p>
    <w:p>
      <w:pPr>
        <w:adjustRightInd w:val="0"/>
        <w:snapToGrid w:val="0"/>
        <w:spacing w:line="440" w:lineRule="exact"/>
        <w:jc w:val="center"/>
        <w:rPr>
          <w:rFonts w:eastAsia="方正小标宋简体"/>
          <w:sz w:val="32"/>
          <w:szCs w:val="32"/>
        </w:rPr>
      </w:pPr>
      <w:r>
        <w:rPr>
          <w:rFonts w:eastAsia="方正小标宋简体"/>
          <w:sz w:val="32"/>
          <w:szCs w:val="32"/>
        </w:rPr>
        <w:t>国家能源集团长源电力股份有限公司</w:t>
      </w:r>
    </w:p>
    <w:p>
      <w:pPr>
        <w:adjustRightInd w:val="0"/>
        <w:snapToGrid w:val="0"/>
        <w:spacing w:line="440" w:lineRule="exact"/>
        <w:jc w:val="center"/>
        <w:rPr>
          <w:rFonts w:eastAsia="方正小标宋简体"/>
          <w:sz w:val="32"/>
          <w:szCs w:val="32"/>
        </w:rPr>
      </w:pPr>
      <w:r>
        <w:rPr>
          <w:rFonts w:eastAsia="方正小标宋简体"/>
          <w:sz w:val="32"/>
          <w:szCs w:val="32"/>
        </w:rPr>
        <w:t>关于与特定对象签署附条件生效的股份认购协议</w:t>
      </w:r>
    </w:p>
    <w:p>
      <w:pPr>
        <w:adjustRightInd w:val="0"/>
        <w:snapToGrid w:val="0"/>
        <w:spacing w:line="440" w:lineRule="exact"/>
        <w:jc w:val="center"/>
        <w:rPr>
          <w:rFonts w:eastAsia="方正小标宋简体"/>
          <w:sz w:val="32"/>
          <w:szCs w:val="32"/>
        </w:rPr>
      </w:pPr>
      <w:r>
        <w:rPr>
          <w:rFonts w:eastAsia="方正小标宋简体"/>
          <w:sz w:val="32"/>
          <w:szCs w:val="32"/>
        </w:rPr>
        <w:t>暨本次发行涉及关联交易的公告</w:t>
      </w:r>
    </w:p>
    <w:p>
      <w:pPr>
        <w:adjustRightInd w:val="0"/>
        <w:snapToGrid w:val="0"/>
        <w:spacing w:line="440" w:lineRule="exact"/>
        <w:jc w:val="center"/>
        <w:rPr>
          <w:rFonts w:eastAsia="方正小标宋简体"/>
          <w:sz w:val="32"/>
          <w:szCs w:val="32"/>
        </w:rPr>
      </w:pPr>
    </w:p>
    <w:tbl>
      <w:tblPr>
        <w:tblStyle w:val="12"/>
        <w:tblW w:w="8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8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80" w:lineRule="exact"/>
              <w:ind w:firstLine="480" w:firstLineChars="200"/>
              <w:rPr>
                <w:color w:val="000000"/>
                <w:sz w:val="24"/>
                <w:szCs w:val="28"/>
              </w:rPr>
            </w:pPr>
            <w:r>
              <w:rPr>
                <w:color w:val="000000"/>
                <w:kern w:val="0"/>
                <w:sz w:val="24"/>
                <w:szCs w:val="28"/>
              </w:rPr>
              <w:t>本公司及董事会全体成员保证信息披露</w:t>
            </w:r>
            <w:r>
              <w:rPr>
                <w:rFonts w:hint="eastAsia"/>
                <w:color w:val="000000"/>
                <w:kern w:val="0"/>
                <w:sz w:val="24"/>
                <w:szCs w:val="28"/>
              </w:rPr>
              <w:t>的</w:t>
            </w:r>
            <w:r>
              <w:rPr>
                <w:color w:val="000000"/>
                <w:kern w:val="0"/>
                <w:sz w:val="24"/>
                <w:szCs w:val="28"/>
              </w:rPr>
              <w:t>内容真实、准确</w:t>
            </w:r>
            <w:r>
              <w:rPr>
                <w:rFonts w:hint="eastAsia"/>
                <w:color w:val="000000"/>
                <w:kern w:val="0"/>
                <w:sz w:val="24"/>
                <w:szCs w:val="28"/>
              </w:rPr>
              <w:t>、</w:t>
            </w:r>
            <w:r>
              <w:rPr>
                <w:color w:val="000000"/>
                <w:kern w:val="0"/>
                <w:sz w:val="24"/>
                <w:szCs w:val="28"/>
              </w:rPr>
              <w:t>完整，没有虚假记载、误导性陈述或重大遗漏。</w:t>
            </w:r>
          </w:p>
        </w:tc>
      </w:tr>
    </w:tbl>
    <w:p>
      <w:pPr>
        <w:adjustRightInd w:val="0"/>
        <w:snapToGrid w:val="0"/>
        <w:spacing w:line="360" w:lineRule="auto"/>
        <w:rPr>
          <w:sz w:val="24"/>
        </w:rPr>
      </w:pPr>
      <w:r>
        <w:rPr>
          <w:sz w:val="24"/>
        </w:rPr>
        <w:t xml:space="preserve"> </w:t>
      </w:r>
    </w:p>
    <w:p>
      <w:pPr>
        <w:adjustRightInd w:val="0"/>
        <w:snapToGrid w:val="0"/>
        <w:spacing w:line="380" w:lineRule="exact"/>
        <w:rPr>
          <w:b/>
          <w:sz w:val="24"/>
          <w:szCs w:val="24"/>
        </w:rPr>
      </w:pPr>
      <w:r>
        <w:rPr>
          <w:rFonts w:hint="eastAsia"/>
          <w:b/>
          <w:sz w:val="24"/>
          <w:szCs w:val="24"/>
        </w:rPr>
        <w:t>特别提示：</w:t>
      </w:r>
    </w:p>
    <w:p>
      <w:pPr>
        <w:pStyle w:val="19"/>
        <w:numPr>
          <w:ilvl w:val="255"/>
          <w:numId w:val="0"/>
        </w:numPr>
        <w:overflowPunct w:val="0"/>
        <w:adjustRightInd w:val="0"/>
        <w:snapToGrid w:val="0"/>
        <w:spacing w:line="380" w:lineRule="exact"/>
        <w:ind w:firstLine="480" w:firstLineChars="200"/>
        <w:rPr>
          <w:bCs/>
          <w:sz w:val="24"/>
          <w:szCs w:val="24"/>
        </w:rPr>
      </w:pPr>
      <w:r>
        <w:rPr>
          <w:sz w:val="24"/>
          <w:szCs w:val="24"/>
        </w:rPr>
        <w:t>1</w:t>
      </w:r>
      <w:r>
        <w:rPr>
          <w:rFonts w:hint="eastAsia"/>
          <w:sz w:val="24"/>
          <w:szCs w:val="24"/>
        </w:rPr>
        <w:t>. 本次向特定对象发行股票事项尚需获得国家能源集团长源电力股份有限公司（以下简称公司）股东大会审议通过、深圳证券交易所（以下简称深交所）审核通过并经中国证券监督管理委员会（以下简称中国证监会）同意注册批复。本次向特定对象发行股票事项能否获得上述批准，以及最终获得批准的时间存在不确定性。</w:t>
      </w:r>
    </w:p>
    <w:p>
      <w:pPr>
        <w:pStyle w:val="19"/>
        <w:numPr>
          <w:ilvl w:val="255"/>
          <w:numId w:val="0"/>
        </w:numPr>
        <w:adjustRightInd w:val="0"/>
        <w:snapToGrid w:val="0"/>
        <w:spacing w:line="380" w:lineRule="exact"/>
        <w:ind w:firstLine="480" w:firstLineChars="200"/>
        <w:rPr>
          <w:bCs/>
          <w:sz w:val="24"/>
          <w:szCs w:val="24"/>
          <w:highlight w:val="yellow"/>
        </w:rPr>
      </w:pPr>
      <w:r>
        <w:rPr>
          <w:sz w:val="24"/>
          <w:szCs w:val="24"/>
        </w:rPr>
        <w:t>2</w:t>
      </w:r>
      <w:r>
        <w:rPr>
          <w:rFonts w:hint="eastAsia"/>
          <w:sz w:val="24"/>
          <w:szCs w:val="24"/>
        </w:rPr>
        <w:t>. 公司于</w:t>
      </w:r>
      <w:r>
        <w:rPr>
          <w:sz w:val="24"/>
          <w:szCs w:val="24"/>
        </w:rPr>
        <w:t>2023</w:t>
      </w:r>
      <w:r>
        <w:rPr>
          <w:rFonts w:hint="eastAsia"/>
          <w:sz w:val="24"/>
          <w:szCs w:val="24"/>
        </w:rPr>
        <w:t>年</w:t>
      </w:r>
      <w:r>
        <w:rPr>
          <w:sz w:val="24"/>
          <w:szCs w:val="24"/>
        </w:rPr>
        <w:t>5</w:t>
      </w:r>
      <w:r>
        <w:rPr>
          <w:rFonts w:hint="eastAsia"/>
          <w:sz w:val="24"/>
          <w:szCs w:val="24"/>
        </w:rPr>
        <w:t>月</w:t>
      </w:r>
      <w:r>
        <w:rPr>
          <w:sz w:val="24"/>
          <w:szCs w:val="24"/>
        </w:rPr>
        <w:t>29</w:t>
      </w:r>
      <w:r>
        <w:rPr>
          <w:rFonts w:hint="eastAsia"/>
          <w:sz w:val="24"/>
          <w:szCs w:val="24"/>
        </w:rPr>
        <w:t>日召开第十届董事会第十四次会议、第十届监事会第九次会议，审议通过了《关于公司与特定对象签署附条件生效的股份认购协议暨本次发行涉及关联交易的议案》，同意公司与国家能源投资集团有限责任公司（以下简称国家能源集团）签署附条件生效的股份认购协议（以下简称认购协议），此项交易尚需获得公司股东大会的批准，公司控股股东国家能源集团作为本次关联交易的关联人将回避表决。</w:t>
      </w:r>
    </w:p>
    <w:p>
      <w:pPr>
        <w:pStyle w:val="19"/>
        <w:numPr>
          <w:ilvl w:val="255"/>
          <w:numId w:val="0"/>
        </w:numPr>
        <w:adjustRightInd w:val="0"/>
        <w:snapToGrid w:val="0"/>
        <w:spacing w:line="380" w:lineRule="exact"/>
        <w:ind w:firstLine="480" w:firstLineChars="200"/>
        <w:rPr>
          <w:bCs/>
          <w:sz w:val="24"/>
          <w:szCs w:val="24"/>
        </w:rPr>
      </w:pPr>
      <w:r>
        <w:rPr>
          <w:bCs/>
          <w:sz w:val="24"/>
          <w:szCs w:val="24"/>
        </w:rPr>
        <w:t>3</w:t>
      </w:r>
      <w:r>
        <w:rPr>
          <w:rFonts w:hint="eastAsia"/>
          <w:bCs/>
          <w:sz w:val="24"/>
          <w:szCs w:val="24"/>
        </w:rPr>
        <w:t>. 本次向特定对象发行股票事宜，公司将继续推进相关工作，根据事项进展情况，严格按照相关法律法规的规定和要求，及时履行信息披露义务。敬请广大投资者理性投资，注意投资风险。</w:t>
      </w:r>
    </w:p>
    <w:p>
      <w:pPr>
        <w:adjustRightInd w:val="0"/>
        <w:snapToGrid w:val="0"/>
        <w:spacing w:line="380" w:lineRule="exact"/>
        <w:ind w:firstLine="480" w:firstLineChars="200"/>
        <w:rPr>
          <w:sz w:val="24"/>
        </w:rPr>
      </w:pPr>
    </w:p>
    <w:p>
      <w:pPr>
        <w:adjustRightInd w:val="0"/>
        <w:snapToGrid w:val="0"/>
        <w:spacing w:line="380" w:lineRule="exact"/>
        <w:ind w:firstLine="482" w:firstLineChars="200"/>
        <w:rPr>
          <w:b/>
          <w:bCs/>
          <w:sz w:val="24"/>
          <w:szCs w:val="24"/>
        </w:rPr>
      </w:pPr>
      <w:r>
        <w:rPr>
          <w:b/>
          <w:bCs/>
          <w:sz w:val="24"/>
          <w:szCs w:val="24"/>
        </w:rPr>
        <w:t xml:space="preserve">一、关联交易情况概述 </w:t>
      </w:r>
    </w:p>
    <w:p>
      <w:pPr>
        <w:adjustRightInd w:val="0"/>
        <w:snapToGrid w:val="0"/>
        <w:spacing w:line="380" w:lineRule="exact"/>
        <w:ind w:firstLine="480" w:firstLineChars="200"/>
        <w:rPr>
          <w:sz w:val="24"/>
          <w:szCs w:val="24"/>
        </w:rPr>
      </w:pPr>
      <w:r>
        <w:rPr>
          <w:rFonts w:hint="eastAsia"/>
          <w:sz w:val="24"/>
          <w:szCs w:val="24"/>
        </w:rPr>
        <w:t>公司本次向特定对象发行</w:t>
      </w:r>
      <w:r>
        <w:rPr>
          <w:sz w:val="24"/>
          <w:szCs w:val="24"/>
        </w:rPr>
        <w:t>A</w:t>
      </w:r>
      <w:r>
        <w:rPr>
          <w:rFonts w:hint="eastAsia"/>
          <w:sz w:val="24"/>
          <w:szCs w:val="24"/>
        </w:rPr>
        <w:t>股股票的数量按照募集资金总额除以发行价格确定，且不超过本次发行前公司总股本的</w:t>
      </w:r>
      <w:r>
        <w:rPr>
          <w:sz w:val="24"/>
          <w:szCs w:val="24"/>
        </w:rPr>
        <w:t>30%</w:t>
      </w:r>
      <w:r>
        <w:rPr>
          <w:rFonts w:hint="eastAsia"/>
          <w:sz w:val="24"/>
          <w:szCs w:val="24"/>
        </w:rPr>
        <w:t>，即不超过</w:t>
      </w:r>
      <w:r>
        <w:rPr>
          <w:sz w:val="24"/>
          <w:szCs w:val="24"/>
        </w:rPr>
        <w:t>824,798,309</w:t>
      </w:r>
      <w:r>
        <w:rPr>
          <w:rFonts w:hint="eastAsia"/>
          <w:sz w:val="24"/>
          <w:szCs w:val="24"/>
        </w:rPr>
        <w:t>股（含本数）。本次发行的发行对象为包括公司控股股东国家能源集团在内的不超过</w:t>
      </w:r>
      <w:r>
        <w:rPr>
          <w:sz w:val="24"/>
          <w:szCs w:val="24"/>
        </w:rPr>
        <w:t>35</w:t>
      </w:r>
      <w:r>
        <w:rPr>
          <w:rFonts w:hint="eastAsia"/>
          <w:sz w:val="24"/>
          <w:szCs w:val="24"/>
        </w:rPr>
        <w:t>名特定对象。国家能源集团拟认购金额不低于</w:t>
      </w:r>
      <w:r>
        <w:rPr>
          <w:sz w:val="24"/>
          <w:szCs w:val="24"/>
        </w:rPr>
        <w:t>90,000</w:t>
      </w:r>
      <w:r>
        <w:rPr>
          <w:rFonts w:hint="eastAsia"/>
          <w:sz w:val="24"/>
          <w:szCs w:val="24"/>
        </w:rPr>
        <w:t>万元（</w:t>
      </w:r>
      <w:r>
        <w:rPr>
          <w:rFonts w:hint="eastAsia"/>
          <w:sz w:val="24"/>
          <w:szCs w:val="24"/>
          <w:lang w:val="en-US" w:eastAsia="zh-CN"/>
        </w:rPr>
        <w:t>不</w:t>
      </w:r>
      <w:r>
        <w:rPr>
          <w:rFonts w:hint="eastAsia"/>
          <w:sz w:val="24"/>
          <w:szCs w:val="24"/>
        </w:rPr>
        <w:t>含本数）且不超过</w:t>
      </w:r>
      <w:r>
        <w:rPr>
          <w:sz w:val="24"/>
          <w:szCs w:val="24"/>
        </w:rPr>
        <w:t>150,000</w:t>
      </w:r>
      <w:r>
        <w:rPr>
          <w:rFonts w:hint="eastAsia"/>
          <w:sz w:val="24"/>
          <w:szCs w:val="24"/>
        </w:rPr>
        <w:t>万元（不含本数）。</w:t>
      </w:r>
    </w:p>
    <w:p>
      <w:pPr>
        <w:adjustRightInd w:val="0"/>
        <w:snapToGrid w:val="0"/>
        <w:spacing w:line="380" w:lineRule="exact"/>
        <w:ind w:firstLine="480" w:firstLineChars="200"/>
        <w:rPr>
          <w:sz w:val="24"/>
          <w:szCs w:val="24"/>
        </w:rPr>
      </w:pPr>
      <w:r>
        <w:rPr>
          <w:rFonts w:hint="eastAsia"/>
          <w:sz w:val="24"/>
          <w:szCs w:val="24"/>
        </w:rPr>
        <w:t>本次发行的发行对象包含公司控股股东国家能源集团，根据《深圳证券交易所股票上市规则》的相关规定，国家能源集团参与本次向特定对象发行股票构成关联交易。</w:t>
      </w:r>
    </w:p>
    <w:p>
      <w:pPr>
        <w:adjustRightInd w:val="0"/>
        <w:snapToGrid w:val="0"/>
        <w:spacing w:line="380" w:lineRule="exact"/>
        <w:ind w:firstLine="480" w:firstLineChars="200"/>
        <w:rPr>
          <w:sz w:val="24"/>
          <w:szCs w:val="24"/>
        </w:rPr>
      </w:pPr>
      <w:r>
        <w:rPr>
          <w:rFonts w:hint="eastAsia"/>
          <w:sz w:val="24"/>
          <w:szCs w:val="24"/>
        </w:rPr>
        <w:t>上述关联交易事项不构成《上市公司重大资产重组管理办法》规定的重大资产重组，亦不构成重组上市。</w:t>
      </w:r>
    </w:p>
    <w:p>
      <w:pPr>
        <w:pStyle w:val="19"/>
        <w:numPr>
          <w:ilvl w:val="255"/>
          <w:numId w:val="0"/>
        </w:numPr>
        <w:adjustRightInd w:val="0"/>
        <w:snapToGrid w:val="0"/>
        <w:spacing w:line="380" w:lineRule="exact"/>
        <w:ind w:firstLine="480" w:firstLineChars="200"/>
        <w:rPr>
          <w:bCs/>
          <w:sz w:val="24"/>
          <w:szCs w:val="24"/>
          <w:highlight w:val="yellow"/>
        </w:rPr>
      </w:pPr>
      <w:r>
        <w:rPr>
          <w:rFonts w:hint="eastAsia"/>
          <w:sz w:val="24"/>
          <w:szCs w:val="24"/>
        </w:rPr>
        <w:t>根据《深圳证券交易所股票上市规则》和《公司章程》的有关规定，上述交易尚需提交公司股东大会以特别决议方式审议，公司控股股东国家能源集团作为本次关联交易的关联人将回避表决。</w:t>
      </w:r>
    </w:p>
    <w:p>
      <w:pPr>
        <w:adjustRightInd w:val="0"/>
        <w:snapToGrid w:val="0"/>
        <w:spacing w:line="380" w:lineRule="exact"/>
        <w:ind w:firstLine="480" w:firstLineChars="200"/>
        <w:rPr>
          <w:sz w:val="24"/>
          <w:szCs w:val="24"/>
        </w:rPr>
      </w:pPr>
      <w:r>
        <w:rPr>
          <w:rFonts w:hint="eastAsia"/>
          <w:sz w:val="24"/>
          <w:szCs w:val="24"/>
        </w:rPr>
        <w:t>公司于</w:t>
      </w:r>
      <w:r>
        <w:rPr>
          <w:sz w:val="24"/>
          <w:szCs w:val="24"/>
        </w:rPr>
        <w:t>2023</w:t>
      </w:r>
      <w:r>
        <w:rPr>
          <w:rFonts w:hint="eastAsia"/>
          <w:sz w:val="24"/>
          <w:szCs w:val="24"/>
        </w:rPr>
        <w:t>年</w:t>
      </w:r>
      <w:r>
        <w:rPr>
          <w:sz w:val="24"/>
          <w:szCs w:val="24"/>
        </w:rPr>
        <w:t>5</w:t>
      </w:r>
      <w:r>
        <w:rPr>
          <w:rFonts w:hint="eastAsia"/>
          <w:sz w:val="24"/>
          <w:szCs w:val="24"/>
        </w:rPr>
        <w:t>月</w:t>
      </w:r>
      <w:r>
        <w:rPr>
          <w:sz w:val="24"/>
          <w:szCs w:val="24"/>
        </w:rPr>
        <w:t>29</w:t>
      </w:r>
      <w:r>
        <w:rPr>
          <w:rFonts w:hint="eastAsia"/>
          <w:sz w:val="24"/>
          <w:szCs w:val="24"/>
        </w:rPr>
        <w:t>日召开的第十届董事会第十四次会议、第十届监事会第九次会议分别审议通过了《关于公司与特定对象签署附条件生效的股份认购协议暨本次发行涉及关联交易的议案》</w:t>
      </w:r>
      <w:r>
        <w:rPr>
          <w:sz w:val="24"/>
          <w:szCs w:val="24"/>
        </w:rPr>
        <w:t>。</w:t>
      </w:r>
      <w:r>
        <w:rPr>
          <w:rFonts w:hint="eastAsia"/>
          <w:sz w:val="24"/>
          <w:szCs w:val="24"/>
        </w:rPr>
        <w:t>公司4名关联董事王冬、袁光福、刘志强、朱振刚回避了表决，5名非关联董事对该议案进行了表决。公司独立董事</w:t>
      </w:r>
      <w:r>
        <w:rPr>
          <w:sz w:val="24"/>
          <w:szCs w:val="24"/>
        </w:rPr>
        <w:t>对本次</w:t>
      </w:r>
      <w:r>
        <w:rPr>
          <w:rFonts w:hint="eastAsia"/>
          <w:sz w:val="24"/>
          <w:szCs w:val="24"/>
        </w:rPr>
        <w:t>关联交易事项进行了事前认可，并发表了独立意见。</w:t>
      </w:r>
    </w:p>
    <w:p>
      <w:pPr>
        <w:adjustRightInd w:val="0"/>
        <w:snapToGrid w:val="0"/>
        <w:spacing w:line="380" w:lineRule="exact"/>
        <w:ind w:firstLine="482" w:firstLineChars="200"/>
        <w:rPr>
          <w:b/>
          <w:bCs/>
          <w:sz w:val="24"/>
          <w:szCs w:val="24"/>
        </w:rPr>
      </w:pPr>
      <w:r>
        <w:rPr>
          <w:b/>
          <w:bCs/>
          <w:sz w:val="24"/>
          <w:szCs w:val="24"/>
        </w:rPr>
        <w:t xml:space="preserve">二、关联方基本情况 </w:t>
      </w:r>
    </w:p>
    <w:p>
      <w:pPr>
        <w:pStyle w:val="4"/>
        <w:numPr>
          <w:ilvl w:val="255"/>
          <w:numId w:val="0"/>
        </w:numPr>
        <w:spacing w:line="380" w:lineRule="exact"/>
        <w:ind w:firstLine="480" w:firstLineChars="200"/>
        <w:rPr>
          <w:sz w:val="24"/>
          <w:szCs w:val="24"/>
        </w:rPr>
      </w:pPr>
      <w:r>
        <w:rPr>
          <w:sz w:val="24"/>
          <w:szCs w:val="24"/>
        </w:rPr>
        <w:t>1</w:t>
      </w:r>
      <w:r>
        <w:rPr>
          <w:rFonts w:hint="eastAsia"/>
          <w:sz w:val="24"/>
          <w:szCs w:val="24"/>
        </w:rPr>
        <w:t>. 关联方工商信息</w:t>
      </w:r>
    </w:p>
    <w:p>
      <w:pPr>
        <w:adjustRightInd w:val="0"/>
        <w:snapToGrid w:val="0"/>
        <w:spacing w:line="380" w:lineRule="exact"/>
        <w:ind w:firstLine="480" w:firstLineChars="200"/>
        <w:rPr>
          <w:sz w:val="24"/>
          <w:szCs w:val="24"/>
        </w:rPr>
      </w:pPr>
      <w:r>
        <w:rPr>
          <w:sz w:val="24"/>
          <w:szCs w:val="24"/>
        </w:rPr>
        <w:t>名称：</w:t>
      </w:r>
      <w:r>
        <w:rPr>
          <w:rFonts w:hint="eastAsia"/>
          <w:sz w:val="24"/>
          <w:szCs w:val="24"/>
        </w:rPr>
        <w:t>国家能源投资集团有限责任公司</w:t>
      </w:r>
    </w:p>
    <w:p>
      <w:pPr>
        <w:adjustRightInd w:val="0"/>
        <w:snapToGrid w:val="0"/>
        <w:spacing w:line="380" w:lineRule="exact"/>
        <w:ind w:firstLine="480" w:firstLineChars="200"/>
        <w:rPr>
          <w:sz w:val="24"/>
          <w:szCs w:val="24"/>
        </w:rPr>
      </w:pPr>
      <w:r>
        <w:rPr>
          <w:rFonts w:hint="eastAsia"/>
          <w:sz w:val="24"/>
          <w:szCs w:val="24"/>
        </w:rPr>
        <w:t>企业性质：有限责任公司（国有独资）</w:t>
      </w:r>
    </w:p>
    <w:p>
      <w:pPr>
        <w:adjustRightInd w:val="0"/>
        <w:snapToGrid w:val="0"/>
        <w:spacing w:line="380" w:lineRule="exact"/>
        <w:ind w:firstLine="480" w:firstLineChars="200"/>
        <w:rPr>
          <w:sz w:val="24"/>
          <w:szCs w:val="24"/>
        </w:rPr>
      </w:pPr>
      <w:r>
        <w:rPr>
          <w:sz w:val="24"/>
          <w:szCs w:val="24"/>
        </w:rPr>
        <w:t>注册地：</w:t>
      </w:r>
      <w:r>
        <w:rPr>
          <w:rFonts w:hint="eastAsia"/>
          <w:sz w:val="24"/>
          <w:szCs w:val="24"/>
        </w:rPr>
        <w:t>北京市东城区安定门西滨河路</w:t>
      </w:r>
      <w:r>
        <w:rPr>
          <w:sz w:val="24"/>
          <w:szCs w:val="24"/>
        </w:rPr>
        <w:t>22</w:t>
      </w:r>
      <w:r>
        <w:rPr>
          <w:rFonts w:hint="eastAsia"/>
          <w:sz w:val="24"/>
          <w:szCs w:val="24"/>
        </w:rPr>
        <w:t>号</w:t>
      </w:r>
    </w:p>
    <w:p>
      <w:pPr>
        <w:adjustRightInd w:val="0"/>
        <w:snapToGrid w:val="0"/>
        <w:spacing w:line="380" w:lineRule="exact"/>
        <w:ind w:firstLine="480" w:firstLineChars="200"/>
        <w:rPr>
          <w:sz w:val="24"/>
          <w:szCs w:val="24"/>
        </w:rPr>
      </w:pPr>
      <w:r>
        <w:rPr>
          <w:rFonts w:hint="eastAsia"/>
          <w:sz w:val="24"/>
          <w:szCs w:val="24"/>
        </w:rPr>
        <w:t>法定代表人：刘国跃</w:t>
      </w:r>
    </w:p>
    <w:p>
      <w:pPr>
        <w:adjustRightInd w:val="0"/>
        <w:snapToGrid w:val="0"/>
        <w:spacing w:line="380" w:lineRule="exact"/>
        <w:ind w:firstLine="480" w:firstLineChars="200"/>
        <w:rPr>
          <w:sz w:val="24"/>
          <w:szCs w:val="24"/>
        </w:rPr>
      </w:pPr>
      <w:r>
        <w:rPr>
          <w:rFonts w:hint="eastAsia"/>
          <w:sz w:val="24"/>
          <w:szCs w:val="24"/>
        </w:rPr>
        <w:t>注册资本：</w:t>
      </w:r>
      <w:r>
        <w:rPr>
          <w:sz w:val="24"/>
          <w:szCs w:val="24"/>
        </w:rPr>
        <w:t>13,209,466.11498</w:t>
      </w:r>
      <w:r>
        <w:rPr>
          <w:rFonts w:hint="eastAsia"/>
          <w:sz w:val="24"/>
          <w:szCs w:val="24"/>
        </w:rPr>
        <w:t>万元人民币</w:t>
      </w:r>
    </w:p>
    <w:p>
      <w:pPr>
        <w:adjustRightInd w:val="0"/>
        <w:snapToGrid w:val="0"/>
        <w:spacing w:line="380" w:lineRule="exact"/>
        <w:ind w:firstLine="480" w:firstLineChars="200"/>
        <w:rPr>
          <w:sz w:val="24"/>
          <w:szCs w:val="24"/>
        </w:rPr>
      </w:pPr>
      <w:r>
        <w:rPr>
          <w:rFonts w:hint="eastAsia"/>
          <w:sz w:val="24"/>
          <w:szCs w:val="24"/>
        </w:rPr>
        <w:t>统一社会信用代码：</w:t>
      </w:r>
      <w:r>
        <w:rPr>
          <w:sz w:val="24"/>
          <w:szCs w:val="24"/>
        </w:rPr>
        <w:t>91110000100018267J</w:t>
      </w:r>
    </w:p>
    <w:p>
      <w:pPr>
        <w:adjustRightInd w:val="0"/>
        <w:snapToGrid w:val="0"/>
        <w:spacing w:line="380" w:lineRule="exact"/>
        <w:ind w:firstLine="480" w:firstLineChars="200"/>
        <w:rPr>
          <w:sz w:val="24"/>
          <w:szCs w:val="24"/>
        </w:rPr>
      </w:pPr>
      <w:r>
        <w:rPr>
          <w:rFonts w:hint="eastAsia"/>
          <w:sz w:val="24"/>
          <w:szCs w:val="24"/>
        </w:rPr>
        <w:t>主营业务：国务院授权范围内的国有资产经营</w:t>
      </w:r>
      <w:r>
        <w:rPr>
          <w:sz w:val="24"/>
          <w:szCs w:val="24"/>
        </w:rPr>
        <w:t>；</w:t>
      </w:r>
      <w:r>
        <w:rPr>
          <w:rFonts w:hint="eastAsia"/>
          <w:sz w:val="24"/>
          <w:szCs w:val="24"/>
        </w:rPr>
        <w:t>开展煤炭等资源性产品、煤制油、煤化工、电力、热力、港口、各类运输业、金融、国内外贸易及物流、房地产、高科技、信息咨询等行业领域的投资、管理；规划、组织、协调、管理集团所属企业在上述行业领域内的生产经营活动；化工材料及化工产品（不含危险化学品）、纺织品、建筑材料、机械、电子设备、办公设备的销售。</w:t>
      </w:r>
    </w:p>
    <w:p>
      <w:pPr>
        <w:adjustRightInd w:val="0"/>
        <w:snapToGrid w:val="0"/>
        <w:spacing w:line="380" w:lineRule="exact"/>
        <w:ind w:firstLine="480" w:firstLineChars="200"/>
        <w:rPr>
          <w:sz w:val="24"/>
          <w:szCs w:val="24"/>
        </w:rPr>
      </w:pPr>
      <w:r>
        <w:rPr>
          <w:rFonts w:hint="eastAsia"/>
          <w:sz w:val="24"/>
          <w:szCs w:val="24"/>
        </w:rPr>
        <w:t>主要股东及其持股比例：国务院国资委（持股比例1</w:t>
      </w:r>
      <w:r>
        <w:rPr>
          <w:sz w:val="24"/>
          <w:szCs w:val="24"/>
        </w:rPr>
        <w:t>00%</w:t>
      </w:r>
      <w:r>
        <w:rPr>
          <w:rFonts w:hint="eastAsia"/>
          <w:sz w:val="24"/>
          <w:szCs w:val="24"/>
        </w:rPr>
        <w:t>）。</w:t>
      </w:r>
    </w:p>
    <w:p>
      <w:pPr>
        <w:adjustRightInd w:val="0"/>
        <w:snapToGrid w:val="0"/>
        <w:spacing w:line="380" w:lineRule="exact"/>
        <w:ind w:firstLine="480" w:firstLineChars="200"/>
        <w:rPr>
          <w:sz w:val="24"/>
          <w:szCs w:val="24"/>
        </w:rPr>
      </w:pPr>
      <w:r>
        <w:rPr>
          <w:sz w:val="24"/>
          <w:szCs w:val="24"/>
        </w:rPr>
        <w:t>2</w:t>
      </w:r>
      <w:r>
        <w:rPr>
          <w:rFonts w:hint="eastAsia"/>
          <w:sz w:val="24"/>
          <w:szCs w:val="24"/>
        </w:rPr>
        <w:t>. 关联方简介</w:t>
      </w:r>
    </w:p>
    <w:p>
      <w:pPr>
        <w:adjustRightInd w:val="0"/>
        <w:snapToGrid w:val="0"/>
        <w:spacing w:line="380" w:lineRule="exact"/>
        <w:ind w:firstLine="480" w:firstLineChars="200"/>
      </w:pPr>
      <w:r>
        <w:rPr>
          <w:rFonts w:hint="eastAsia"/>
          <w:sz w:val="24"/>
          <w:szCs w:val="24"/>
        </w:rPr>
        <w:t>国家能源集团是于</w:t>
      </w:r>
      <w:r>
        <w:rPr>
          <w:sz w:val="24"/>
          <w:szCs w:val="24"/>
        </w:rPr>
        <w:t>2017</w:t>
      </w:r>
      <w:r>
        <w:rPr>
          <w:rFonts w:hint="eastAsia"/>
          <w:sz w:val="24"/>
          <w:szCs w:val="24"/>
        </w:rPr>
        <w:t>年</w:t>
      </w:r>
      <w:r>
        <w:rPr>
          <w:sz w:val="24"/>
          <w:szCs w:val="24"/>
        </w:rPr>
        <w:t>11</w:t>
      </w:r>
      <w:r>
        <w:rPr>
          <w:rFonts w:hint="eastAsia"/>
          <w:sz w:val="24"/>
          <w:szCs w:val="24"/>
        </w:rPr>
        <w:t>月</w:t>
      </w:r>
      <w:r>
        <w:rPr>
          <w:sz w:val="24"/>
          <w:szCs w:val="24"/>
        </w:rPr>
        <w:t>28</w:t>
      </w:r>
      <w:r>
        <w:rPr>
          <w:rFonts w:hint="eastAsia"/>
          <w:sz w:val="24"/>
          <w:szCs w:val="24"/>
        </w:rPr>
        <w:t>日正式挂牌成立，是经党中央、国务院批准，由中国国电集团公司和神华集团有限责任公司联合重组而成的中央骨干能源企业，是集央企联合重组、国有资本投资公司改革、创建世界一流示范企业、国有企业公司治理示范企业“四个试点”于一身的中央企业，拥有煤炭、电力、运输、化工等全产业链业务，产业分布在全国</w:t>
      </w:r>
      <w:r>
        <w:rPr>
          <w:sz w:val="24"/>
          <w:szCs w:val="24"/>
        </w:rPr>
        <w:t>31</w:t>
      </w:r>
      <w:r>
        <w:rPr>
          <w:rFonts w:hint="eastAsia"/>
          <w:sz w:val="24"/>
          <w:szCs w:val="24"/>
        </w:rPr>
        <w:t>个省区市以及</w:t>
      </w:r>
      <w:r>
        <w:rPr>
          <w:sz w:val="24"/>
          <w:szCs w:val="24"/>
        </w:rPr>
        <w:t>10</w:t>
      </w:r>
      <w:r>
        <w:rPr>
          <w:rFonts w:hint="eastAsia"/>
          <w:sz w:val="24"/>
          <w:szCs w:val="24"/>
        </w:rPr>
        <w:t>多个国家和地区，是全球规模最大的煤炭生产公司、火力发电公司、风力发电公司和煤制油煤化工公司。</w:t>
      </w:r>
      <w:r>
        <w:rPr>
          <w:sz w:val="24"/>
          <w:szCs w:val="24"/>
        </w:rPr>
        <w:t>2021</w:t>
      </w:r>
      <w:r>
        <w:rPr>
          <w:rFonts w:hint="eastAsia"/>
          <w:sz w:val="24"/>
          <w:szCs w:val="24"/>
        </w:rPr>
        <w:t>年获评</w:t>
      </w:r>
      <w:r>
        <w:rPr>
          <w:sz w:val="24"/>
          <w:szCs w:val="24"/>
        </w:rPr>
        <w:t>2021</w:t>
      </w:r>
      <w:r>
        <w:rPr>
          <w:rFonts w:hint="eastAsia"/>
          <w:sz w:val="24"/>
          <w:szCs w:val="24"/>
        </w:rPr>
        <w:t>年中央企业负责人经营业绩考核</w:t>
      </w:r>
      <w:r>
        <w:rPr>
          <w:sz w:val="24"/>
          <w:szCs w:val="24"/>
        </w:rPr>
        <w:t>A</w:t>
      </w:r>
      <w:r>
        <w:rPr>
          <w:rFonts w:hint="eastAsia"/>
          <w:sz w:val="24"/>
          <w:szCs w:val="24"/>
        </w:rPr>
        <w:t>级、</w:t>
      </w:r>
      <w:r>
        <w:rPr>
          <w:sz w:val="24"/>
          <w:szCs w:val="24"/>
        </w:rPr>
        <w:t>2019-2021</w:t>
      </w:r>
      <w:r>
        <w:rPr>
          <w:rFonts w:hint="eastAsia"/>
          <w:sz w:val="24"/>
          <w:szCs w:val="24"/>
        </w:rPr>
        <w:t>年任期考核</w:t>
      </w:r>
      <w:r>
        <w:rPr>
          <w:sz w:val="24"/>
          <w:szCs w:val="24"/>
        </w:rPr>
        <w:t>A</w:t>
      </w:r>
      <w:r>
        <w:rPr>
          <w:rFonts w:hint="eastAsia"/>
          <w:sz w:val="24"/>
          <w:szCs w:val="24"/>
        </w:rPr>
        <w:t>级。</w:t>
      </w:r>
      <w:r>
        <w:rPr>
          <w:sz w:val="24"/>
          <w:szCs w:val="24"/>
        </w:rPr>
        <w:t>2022</w:t>
      </w:r>
      <w:r>
        <w:rPr>
          <w:rFonts w:hint="eastAsia"/>
          <w:sz w:val="24"/>
          <w:szCs w:val="24"/>
        </w:rPr>
        <w:t>年在世界</w:t>
      </w:r>
      <w:r>
        <w:rPr>
          <w:sz w:val="24"/>
          <w:szCs w:val="24"/>
        </w:rPr>
        <w:t>500</w:t>
      </w:r>
      <w:r>
        <w:rPr>
          <w:rFonts w:hint="eastAsia"/>
          <w:sz w:val="24"/>
          <w:szCs w:val="24"/>
        </w:rPr>
        <w:t>强排名第</w:t>
      </w:r>
      <w:r>
        <w:rPr>
          <w:sz w:val="24"/>
          <w:szCs w:val="24"/>
        </w:rPr>
        <w:t>85</w:t>
      </w:r>
      <w:r>
        <w:rPr>
          <w:rFonts w:hint="eastAsia"/>
          <w:sz w:val="24"/>
          <w:szCs w:val="24"/>
        </w:rPr>
        <w:t>位，较上年上升十六位。其近一年及一期的主要财务数据如下：</w:t>
      </w:r>
    </w:p>
    <w:p>
      <w:pPr>
        <w:pStyle w:val="4"/>
        <w:spacing w:line="360" w:lineRule="exact"/>
        <w:jc w:val="right"/>
        <w:rPr>
          <w:szCs w:val="21"/>
        </w:rPr>
      </w:pPr>
      <w:r>
        <w:rPr>
          <w:rFonts w:hint="eastAsia"/>
          <w:szCs w:val="21"/>
        </w:rPr>
        <w:t>单位：亿元</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9"/>
        <w:gridCol w:w="3348"/>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trPr>
        <w:tc>
          <w:tcPr>
            <w:tcW w:w="1279" w:type="pct"/>
            <w:shd w:val="clear" w:color="auto" w:fill="D9D9D9"/>
            <w:vAlign w:val="center"/>
          </w:tcPr>
          <w:p>
            <w:pPr>
              <w:widowControl/>
              <w:spacing w:line="360" w:lineRule="exact"/>
              <w:jc w:val="center"/>
              <w:textAlignment w:val="center"/>
              <w:rPr>
                <w:b/>
                <w:kern w:val="0"/>
                <w:szCs w:val="21"/>
                <w:lang w:bidi="ar"/>
              </w:rPr>
            </w:pPr>
            <w:r>
              <w:rPr>
                <w:rFonts w:hint="eastAsia"/>
                <w:b/>
                <w:kern w:val="0"/>
                <w:szCs w:val="21"/>
                <w:lang w:bidi="ar"/>
              </w:rPr>
              <w:t>项目</w:t>
            </w:r>
          </w:p>
        </w:tc>
        <w:tc>
          <w:tcPr>
            <w:tcW w:w="1965" w:type="pct"/>
            <w:shd w:val="clear" w:color="auto" w:fill="D9D9D9"/>
            <w:vAlign w:val="center"/>
          </w:tcPr>
          <w:p>
            <w:pPr>
              <w:widowControl/>
              <w:spacing w:line="360" w:lineRule="exact"/>
              <w:jc w:val="center"/>
              <w:textAlignment w:val="center"/>
              <w:rPr>
                <w:b/>
                <w:kern w:val="0"/>
                <w:szCs w:val="21"/>
                <w:lang w:bidi="ar"/>
              </w:rPr>
            </w:pPr>
            <w:r>
              <w:rPr>
                <w:b/>
                <w:kern w:val="0"/>
                <w:szCs w:val="21"/>
                <w:lang w:bidi="ar"/>
              </w:rPr>
              <w:t>2023</w:t>
            </w:r>
            <w:r>
              <w:rPr>
                <w:rFonts w:hint="eastAsia"/>
                <w:b/>
                <w:kern w:val="0"/>
                <w:szCs w:val="21"/>
                <w:lang w:bidi="ar"/>
              </w:rPr>
              <w:t>年</w:t>
            </w:r>
            <w:r>
              <w:rPr>
                <w:b/>
                <w:kern w:val="0"/>
                <w:szCs w:val="21"/>
                <w:lang w:bidi="ar"/>
              </w:rPr>
              <w:t>3</w:t>
            </w:r>
            <w:r>
              <w:rPr>
                <w:rFonts w:hint="eastAsia"/>
                <w:b/>
                <w:kern w:val="0"/>
                <w:szCs w:val="21"/>
                <w:lang w:bidi="ar"/>
              </w:rPr>
              <w:t>月</w:t>
            </w:r>
            <w:r>
              <w:rPr>
                <w:b/>
                <w:kern w:val="0"/>
                <w:szCs w:val="21"/>
                <w:lang w:bidi="ar"/>
              </w:rPr>
              <w:t>31</w:t>
            </w:r>
            <w:r>
              <w:rPr>
                <w:rFonts w:hint="eastAsia"/>
                <w:b/>
                <w:kern w:val="0"/>
                <w:szCs w:val="21"/>
                <w:lang w:bidi="ar"/>
              </w:rPr>
              <w:t>日</w:t>
            </w:r>
            <w:r>
              <w:rPr>
                <w:b/>
                <w:kern w:val="0"/>
                <w:szCs w:val="21"/>
                <w:lang w:bidi="ar"/>
              </w:rPr>
              <w:t>/2023</w:t>
            </w:r>
            <w:r>
              <w:rPr>
                <w:rFonts w:hint="eastAsia"/>
                <w:b/>
                <w:kern w:val="0"/>
                <w:szCs w:val="21"/>
                <w:lang w:bidi="ar"/>
              </w:rPr>
              <w:t>年</w:t>
            </w:r>
            <w:r>
              <w:rPr>
                <w:b/>
                <w:kern w:val="0"/>
                <w:szCs w:val="21"/>
                <w:lang w:bidi="ar"/>
              </w:rPr>
              <w:t>1-3</w:t>
            </w:r>
            <w:r>
              <w:rPr>
                <w:rFonts w:hint="eastAsia"/>
                <w:b/>
                <w:kern w:val="0"/>
                <w:szCs w:val="21"/>
                <w:lang w:bidi="ar"/>
              </w:rPr>
              <w:t>月</w:t>
            </w:r>
          </w:p>
        </w:tc>
        <w:tc>
          <w:tcPr>
            <w:tcW w:w="1757" w:type="pct"/>
            <w:shd w:val="clear" w:color="auto" w:fill="D9D9D9"/>
            <w:vAlign w:val="center"/>
          </w:tcPr>
          <w:p>
            <w:pPr>
              <w:widowControl/>
              <w:spacing w:line="360" w:lineRule="exact"/>
              <w:jc w:val="center"/>
              <w:textAlignment w:val="center"/>
              <w:rPr>
                <w:b/>
                <w:kern w:val="0"/>
                <w:szCs w:val="21"/>
                <w:lang w:bidi="ar"/>
              </w:rPr>
            </w:pPr>
            <w:r>
              <w:rPr>
                <w:b/>
                <w:kern w:val="0"/>
                <w:szCs w:val="21"/>
                <w:lang w:bidi="ar"/>
              </w:rPr>
              <w:t>2022</w:t>
            </w:r>
            <w:r>
              <w:rPr>
                <w:rFonts w:hint="eastAsia"/>
                <w:b/>
                <w:kern w:val="0"/>
                <w:szCs w:val="21"/>
                <w:lang w:bidi="ar"/>
              </w:rPr>
              <w:t>年</w:t>
            </w:r>
            <w:r>
              <w:rPr>
                <w:b/>
                <w:kern w:val="0"/>
                <w:szCs w:val="21"/>
                <w:lang w:bidi="ar"/>
              </w:rPr>
              <w:t>12</w:t>
            </w:r>
            <w:r>
              <w:rPr>
                <w:rFonts w:hint="eastAsia"/>
                <w:b/>
                <w:kern w:val="0"/>
                <w:szCs w:val="21"/>
                <w:lang w:bidi="ar"/>
              </w:rPr>
              <w:t>月</w:t>
            </w:r>
            <w:r>
              <w:rPr>
                <w:b/>
                <w:kern w:val="0"/>
                <w:szCs w:val="21"/>
                <w:lang w:bidi="ar"/>
              </w:rPr>
              <w:t>31</w:t>
            </w:r>
            <w:r>
              <w:rPr>
                <w:rFonts w:hint="eastAsia"/>
                <w:b/>
                <w:kern w:val="0"/>
                <w:szCs w:val="21"/>
                <w:lang w:bidi="ar"/>
              </w:rPr>
              <w:t>日</w:t>
            </w:r>
            <w:r>
              <w:rPr>
                <w:b/>
                <w:kern w:val="0"/>
                <w:szCs w:val="21"/>
                <w:lang w:bidi="ar"/>
              </w:rPr>
              <w:t>/2022</w:t>
            </w:r>
            <w:r>
              <w:rPr>
                <w:rFonts w:hint="eastAsia"/>
                <w:b/>
                <w:kern w:val="0"/>
                <w:szCs w:val="21"/>
                <w:lang w:bidi="ar"/>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79" w:type="pct"/>
            <w:vAlign w:val="center"/>
          </w:tcPr>
          <w:p>
            <w:pPr>
              <w:pStyle w:val="4"/>
              <w:spacing w:line="360" w:lineRule="exact"/>
              <w:ind w:firstLine="0" w:firstLineChars="0"/>
              <w:jc w:val="center"/>
              <w:rPr>
                <w:szCs w:val="21"/>
              </w:rPr>
            </w:pPr>
            <w:r>
              <w:rPr>
                <w:rFonts w:hint="eastAsia"/>
                <w:szCs w:val="21"/>
              </w:rPr>
              <w:t>资产总额</w:t>
            </w:r>
          </w:p>
        </w:tc>
        <w:tc>
          <w:tcPr>
            <w:tcW w:w="1965" w:type="pct"/>
            <w:vAlign w:val="center"/>
          </w:tcPr>
          <w:p>
            <w:pPr>
              <w:pStyle w:val="4"/>
              <w:spacing w:line="360" w:lineRule="exact"/>
              <w:ind w:firstLine="0" w:firstLineChars="0"/>
              <w:jc w:val="right"/>
              <w:rPr>
                <w:szCs w:val="21"/>
              </w:rPr>
            </w:pPr>
            <w:r>
              <w:rPr>
                <w:szCs w:val="21"/>
              </w:rPr>
              <w:t>20,162.92</w:t>
            </w:r>
          </w:p>
        </w:tc>
        <w:tc>
          <w:tcPr>
            <w:tcW w:w="1757" w:type="pct"/>
            <w:vAlign w:val="center"/>
          </w:tcPr>
          <w:p>
            <w:pPr>
              <w:pStyle w:val="4"/>
              <w:spacing w:line="360" w:lineRule="exact"/>
              <w:ind w:firstLine="0" w:firstLineChars="0"/>
              <w:jc w:val="right"/>
              <w:rPr>
                <w:szCs w:val="21"/>
              </w:rPr>
            </w:pPr>
            <w:r>
              <w:rPr>
                <w:szCs w:val="21"/>
              </w:rPr>
              <w:t>19,421.64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79" w:type="pct"/>
            <w:vAlign w:val="center"/>
          </w:tcPr>
          <w:p>
            <w:pPr>
              <w:pStyle w:val="4"/>
              <w:spacing w:line="360" w:lineRule="exact"/>
              <w:ind w:firstLine="0" w:firstLineChars="0"/>
              <w:jc w:val="center"/>
              <w:rPr>
                <w:szCs w:val="21"/>
              </w:rPr>
            </w:pPr>
            <w:r>
              <w:rPr>
                <w:rFonts w:hint="eastAsia"/>
                <w:szCs w:val="21"/>
              </w:rPr>
              <w:t>负债总额</w:t>
            </w:r>
          </w:p>
        </w:tc>
        <w:tc>
          <w:tcPr>
            <w:tcW w:w="1965" w:type="pct"/>
            <w:vAlign w:val="center"/>
          </w:tcPr>
          <w:p>
            <w:pPr>
              <w:pStyle w:val="4"/>
              <w:spacing w:line="360" w:lineRule="exact"/>
              <w:ind w:firstLine="0" w:firstLineChars="0"/>
              <w:jc w:val="right"/>
              <w:rPr>
                <w:szCs w:val="21"/>
              </w:rPr>
            </w:pPr>
            <w:r>
              <w:rPr>
                <w:szCs w:val="21"/>
              </w:rPr>
              <w:t>11,755.27</w:t>
            </w:r>
          </w:p>
        </w:tc>
        <w:tc>
          <w:tcPr>
            <w:tcW w:w="1757" w:type="pct"/>
            <w:vAlign w:val="center"/>
          </w:tcPr>
          <w:p>
            <w:pPr>
              <w:pStyle w:val="4"/>
              <w:spacing w:line="360" w:lineRule="exact"/>
              <w:ind w:firstLine="0" w:firstLineChars="0"/>
              <w:jc w:val="right"/>
              <w:rPr>
                <w:szCs w:val="21"/>
              </w:rPr>
            </w:pPr>
            <w:r>
              <w:rPr>
                <w:szCs w:val="21"/>
              </w:rPr>
              <w:t>11,343.84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79" w:type="pct"/>
            <w:vAlign w:val="center"/>
          </w:tcPr>
          <w:p>
            <w:pPr>
              <w:pStyle w:val="4"/>
              <w:spacing w:line="360" w:lineRule="exact"/>
              <w:ind w:firstLine="0" w:firstLineChars="0"/>
              <w:jc w:val="center"/>
              <w:rPr>
                <w:szCs w:val="21"/>
              </w:rPr>
            </w:pPr>
            <w:r>
              <w:rPr>
                <w:rFonts w:hint="eastAsia"/>
                <w:szCs w:val="21"/>
              </w:rPr>
              <w:t>所有者权益总额</w:t>
            </w:r>
          </w:p>
        </w:tc>
        <w:tc>
          <w:tcPr>
            <w:tcW w:w="1965" w:type="pct"/>
            <w:vAlign w:val="center"/>
          </w:tcPr>
          <w:p>
            <w:pPr>
              <w:pStyle w:val="4"/>
              <w:spacing w:line="360" w:lineRule="exact"/>
              <w:ind w:firstLine="0" w:firstLineChars="0"/>
              <w:jc w:val="right"/>
              <w:rPr>
                <w:szCs w:val="21"/>
              </w:rPr>
            </w:pPr>
            <w:r>
              <w:rPr>
                <w:szCs w:val="21"/>
              </w:rPr>
              <w:t>8,407.65</w:t>
            </w:r>
          </w:p>
        </w:tc>
        <w:tc>
          <w:tcPr>
            <w:tcW w:w="1757" w:type="pct"/>
            <w:vAlign w:val="center"/>
          </w:tcPr>
          <w:p>
            <w:pPr>
              <w:pStyle w:val="4"/>
              <w:spacing w:line="360" w:lineRule="exact"/>
              <w:ind w:firstLine="0" w:firstLineChars="0"/>
              <w:jc w:val="right"/>
              <w:rPr>
                <w:szCs w:val="21"/>
              </w:rPr>
            </w:pPr>
            <w:r>
              <w:rPr>
                <w:szCs w:val="21"/>
              </w:rPr>
              <w:t>8,077.79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trPr>
        <w:tc>
          <w:tcPr>
            <w:tcW w:w="1279" w:type="pct"/>
            <w:vAlign w:val="center"/>
          </w:tcPr>
          <w:p>
            <w:pPr>
              <w:pStyle w:val="4"/>
              <w:spacing w:line="360" w:lineRule="exact"/>
              <w:ind w:firstLine="0" w:firstLineChars="0"/>
              <w:jc w:val="center"/>
              <w:rPr>
                <w:szCs w:val="21"/>
              </w:rPr>
            </w:pPr>
            <w:r>
              <w:rPr>
                <w:rFonts w:hint="eastAsia"/>
                <w:szCs w:val="21"/>
              </w:rPr>
              <w:t>营业收入</w:t>
            </w:r>
          </w:p>
        </w:tc>
        <w:tc>
          <w:tcPr>
            <w:tcW w:w="1965" w:type="pct"/>
            <w:vAlign w:val="center"/>
          </w:tcPr>
          <w:p>
            <w:pPr>
              <w:pStyle w:val="4"/>
              <w:spacing w:line="360" w:lineRule="exact"/>
              <w:ind w:firstLine="0" w:firstLineChars="0"/>
              <w:jc w:val="right"/>
              <w:rPr>
                <w:szCs w:val="21"/>
              </w:rPr>
            </w:pPr>
            <w:r>
              <w:rPr>
                <w:szCs w:val="21"/>
              </w:rPr>
              <w:t>2,063.71</w:t>
            </w:r>
          </w:p>
        </w:tc>
        <w:tc>
          <w:tcPr>
            <w:tcW w:w="1757" w:type="pct"/>
            <w:shd w:val="clear" w:color="auto" w:fill="auto"/>
            <w:vAlign w:val="center"/>
          </w:tcPr>
          <w:p>
            <w:pPr>
              <w:pStyle w:val="4"/>
              <w:spacing w:line="360" w:lineRule="exact"/>
              <w:ind w:firstLine="0" w:firstLineChars="0"/>
              <w:jc w:val="right"/>
              <w:rPr>
                <w:szCs w:val="21"/>
              </w:rPr>
            </w:pPr>
            <w:r>
              <w:rPr>
                <w:szCs w:val="21"/>
              </w:rPr>
              <w:t>8,178.65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79" w:type="pct"/>
            <w:vAlign w:val="center"/>
          </w:tcPr>
          <w:p>
            <w:pPr>
              <w:pStyle w:val="4"/>
              <w:spacing w:line="360" w:lineRule="exact"/>
              <w:ind w:firstLine="0" w:firstLineChars="0"/>
              <w:jc w:val="center"/>
              <w:rPr>
                <w:szCs w:val="21"/>
              </w:rPr>
            </w:pPr>
            <w:r>
              <w:rPr>
                <w:rFonts w:hint="eastAsia"/>
                <w:szCs w:val="21"/>
              </w:rPr>
              <w:t>利润总额</w:t>
            </w:r>
          </w:p>
        </w:tc>
        <w:tc>
          <w:tcPr>
            <w:tcW w:w="1965" w:type="pct"/>
            <w:vAlign w:val="center"/>
          </w:tcPr>
          <w:p>
            <w:pPr>
              <w:pStyle w:val="4"/>
              <w:spacing w:line="360" w:lineRule="exact"/>
              <w:ind w:firstLine="0" w:firstLineChars="0"/>
              <w:jc w:val="right"/>
              <w:rPr>
                <w:szCs w:val="21"/>
              </w:rPr>
            </w:pPr>
            <w:r>
              <w:rPr>
                <w:szCs w:val="21"/>
              </w:rPr>
              <w:t>293.37</w:t>
            </w:r>
          </w:p>
        </w:tc>
        <w:tc>
          <w:tcPr>
            <w:tcW w:w="1757" w:type="pct"/>
            <w:shd w:val="clear" w:color="auto" w:fill="auto"/>
            <w:vAlign w:val="center"/>
          </w:tcPr>
          <w:p>
            <w:pPr>
              <w:pStyle w:val="4"/>
              <w:spacing w:line="360" w:lineRule="exact"/>
              <w:ind w:firstLine="0" w:firstLineChars="0"/>
              <w:jc w:val="right"/>
              <w:rPr>
                <w:szCs w:val="21"/>
              </w:rPr>
            </w:pPr>
            <w:r>
              <w:rPr>
                <w:szCs w:val="21"/>
              </w:rPr>
              <w:t>1,100.30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79" w:type="pct"/>
            <w:vAlign w:val="center"/>
          </w:tcPr>
          <w:p>
            <w:pPr>
              <w:pStyle w:val="4"/>
              <w:spacing w:line="360" w:lineRule="exact"/>
              <w:ind w:firstLine="0" w:firstLineChars="0"/>
              <w:jc w:val="center"/>
              <w:rPr>
                <w:szCs w:val="21"/>
              </w:rPr>
            </w:pPr>
            <w:r>
              <w:rPr>
                <w:rFonts w:hint="eastAsia"/>
                <w:szCs w:val="21"/>
              </w:rPr>
              <w:t>净利润</w:t>
            </w:r>
          </w:p>
        </w:tc>
        <w:tc>
          <w:tcPr>
            <w:tcW w:w="1965" w:type="pct"/>
            <w:vAlign w:val="center"/>
          </w:tcPr>
          <w:p>
            <w:pPr>
              <w:pStyle w:val="4"/>
              <w:spacing w:line="360" w:lineRule="exact"/>
              <w:ind w:firstLine="0" w:firstLineChars="0"/>
              <w:jc w:val="right"/>
              <w:rPr>
                <w:szCs w:val="21"/>
              </w:rPr>
            </w:pPr>
            <w:r>
              <w:rPr>
                <w:szCs w:val="21"/>
              </w:rPr>
              <w:t>235.88</w:t>
            </w:r>
          </w:p>
        </w:tc>
        <w:tc>
          <w:tcPr>
            <w:tcW w:w="1757" w:type="pct"/>
            <w:shd w:val="clear" w:color="auto" w:fill="auto"/>
            <w:vAlign w:val="center"/>
          </w:tcPr>
          <w:p>
            <w:pPr>
              <w:pStyle w:val="4"/>
              <w:spacing w:line="360" w:lineRule="exact"/>
              <w:ind w:firstLine="0" w:firstLineChars="0"/>
              <w:jc w:val="right"/>
              <w:rPr>
                <w:szCs w:val="21"/>
              </w:rPr>
            </w:pPr>
            <w:r>
              <w:rPr>
                <w:szCs w:val="21"/>
              </w:rPr>
              <w:t>802.26</w:t>
            </w:r>
          </w:p>
        </w:tc>
      </w:tr>
    </w:tbl>
    <w:p>
      <w:pPr>
        <w:pStyle w:val="4"/>
        <w:spacing w:line="360" w:lineRule="exact"/>
        <w:rPr>
          <w:szCs w:val="21"/>
        </w:rPr>
      </w:pPr>
      <w:r>
        <w:rPr>
          <w:rFonts w:hint="eastAsia"/>
          <w:szCs w:val="21"/>
        </w:rPr>
        <w:t>注：</w:t>
      </w:r>
      <w:r>
        <w:rPr>
          <w:szCs w:val="21"/>
        </w:rPr>
        <w:t>2023</w:t>
      </w:r>
      <w:r>
        <w:rPr>
          <w:rFonts w:hint="eastAsia"/>
          <w:szCs w:val="21"/>
        </w:rPr>
        <w:t>年</w:t>
      </w:r>
      <w:r>
        <w:rPr>
          <w:szCs w:val="21"/>
        </w:rPr>
        <w:t>1-3</w:t>
      </w:r>
      <w:r>
        <w:rPr>
          <w:rFonts w:hint="eastAsia"/>
          <w:szCs w:val="21"/>
        </w:rPr>
        <w:t>月合并财务报表数据未经审计，</w:t>
      </w:r>
      <w:r>
        <w:rPr>
          <w:szCs w:val="21"/>
        </w:rPr>
        <w:t>2022</w:t>
      </w:r>
      <w:r>
        <w:rPr>
          <w:rFonts w:hint="eastAsia"/>
          <w:szCs w:val="21"/>
        </w:rPr>
        <w:t>年度合并财务报表数据已经审计。</w:t>
      </w:r>
    </w:p>
    <w:p>
      <w:pPr>
        <w:pStyle w:val="4"/>
        <w:spacing w:line="360" w:lineRule="exact"/>
        <w:ind w:firstLine="480"/>
        <w:rPr>
          <w:sz w:val="24"/>
          <w:szCs w:val="24"/>
        </w:rPr>
      </w:pPr>
      <w:r>
        <w:rPr>
          <w:sz w:val="24"/>
          <w:szCs w:val="24"/>
        </w:rPr>
        <w:t>3</w:t>
      </w:r>
      <w:r>
        <w:rPr>
          <w:rFonts w:hint="eastAsia"/>
          <w:sz w:val="24"/>
          <w:szCs w:val="24"/>
        </w:rPr>
        <w:t>. 关联关系图</w:t>
      </w:r>
    </w:p>
    <w:p>
      <w:pPr>
        <w:pStyle w:val="4"/>
        <w:ind w:firstLine="0" w:firstLineChars="0"/>
        <w:jc w:val="center"/>
        <w:rPr>
          <w:sz w:val="24"/>
          <w:szCs w:val="24"/>
        </w:rPr>
      </w:pPr>
      <w:r>
        <w:rPr>
          <w:sz w:val="24"/>
          <w:szCs w:val="24"/>
        </w:rPr>
        <mc:AlternateContent>
          <mc:Choice Requires="wpc">
            <w:drawing>
              <wp:inline distT="0" distB="0" distL="0" distR="0">
                <wp:extent cx="5274310" cy="2279650"/>
                <wp:effectExtent l="0" t="0" r="0" b="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文本框 2"/>
                        <wps:cNvSpPr txBox="1">
                          <a:spLocks noChangeArrowheads="1"/>
                        </wps:cNvSpPr>
                        <wps:spPr bwMode="auto">
                          <a:xfrm>
                            <a:off x="1281422" y="125455"/>
                            <a:ext cx="2736000" cy="360000"/>
                          </a:xfrm>
                          <a:prstGeom prst="rect">
                            <a:avLst/>
                          </a:prstGeom>
                          <a:solidFill>
                            <a:srgbClr val="FFFFFF"/>
                          </a:solidFill>
                          <a:ln w="9525">
                            <a:solidFill>
                              <a:srgbClr val="000000"/>
                            </a:solidFill>
                            <a:miter lim="800000"/>
                          </a:ln>
                        </wps:spPr>
                        <wps:txbx>
                          <w:txbxContent>
                            <w:p>
                              <w:pPr>
                                <w:pStyle w:val="10"/>
                                <w:spacing w:before="0" w:beforeAutospacing="0" w:after="0" w:afterAutospacing="0"/>
                                <w:jc w:val="center"/>
                              </w:pPr>
                              <w:r>
                                <w:rPr>
                                  <w:rFonts w:hint="eastAsia"/>
                                </w:rPr>
                                <w:t>国</w:t>
                              </w:r>
                              <w:r>
                                <w:t>务院</w:t>
                              </w:r>
                              <w:r>
                                <w:rPr>
                                  <w:rFonts w:hint="eastAsia"/>
                                </w:rPr>
                                <w:t>国</w:t>
                              </w:r>
                              <w:r>
                                <w:t>资委</w:t>
                              </w:r>
                            </w:p>
                          </w:txbxContent>
                        </wps:txbx>
                        <wps:bodyPr rot="0" vert="horz" wrap="square" lIns="91440" tIns="45720" rIns="91440" bIns="45720" anchor="ctr" anchorCtr="0">
                          <a:noAutofit/>
                        </wps:bodyPr>
                      </wps:wsp>
                      <wps:wsp>
                        <wps:cNvPr id="4" name="文本框 2"/>
                        <wps:cNvSpPr txBox="1">
                          <a:spLocks noChangeArrowheads="1"/>
                        </wps:cNvSpPr>
                        <wps:spPr bwMode="auto">
                          <a:xfrm>
                            <a:off x="1281657" y="924894"/>
                            <a:ext cx="2736000" cy="360000"/>
                          </a:xfrm>
                          <a:prstGeom prst="rect">
                            <a:avLst/>
                          </a:prstGeom>
                          <a:solidFill>
                            <a:srgbClr val="FFFFFF"/>
                          </a:solidFill>
                          <a:ln w="9525">
                            <a:solidFill>
                              <a:srgbClr val="000000"/>
                            </a:solidFill>
                            <a:miter lim="800000"/>
                          </a:ln>
                        </wps:spPr>
                        <wps:txbx>
                          <w:txbxContent>
                            <w:p>
                              <w:pPr>
                                <w:pStyle w:val="10"/>
                                <w:spacing w:before="0" w:beforeAutospacing="0" w:after="0" w:afterAutospacing="0"/>
                                <w:jc w:val="center"/>
                              </w:pPr>
                              <w:r>
                                <w:rPr>
                                  <w:rFonts w:hint="eastAsia"/>
                                </w:rPr>
                                <w:t>国家</w:t>
                              </w:r>
                              <w:r>
                                <w:t>能源投资</w:t>
                              </w:r>
                              <w:r>
                                <w:rPr>
                                  <w:rFonts w:hint="eastAsia"/>
                                </w:rPr>
                                <w:t>集团</w:t>
                              </w:r>
                              <w:r>
                                <w:t>有限</w:t>
                              </w:r>
                              <w:r>
                                <w:rPr>
                                  <w:rFonts w:hint="eastAsia"/>
                                </w:rPr>
                                <w:t>责任</w:t>
                              </w:r>
                              <w:r>
                                <w:t>公司</w:t>
                              </w:r>
                            </w:p>
                          </w:txbxContent>
                        </wps:txbx>
                        <wps:bodyPr rot="0" vert="horz" wrap="square" lIns="91440" tIns="45720" rIns="91440" bIns="45720" anchor="ctr" anchorCtr="0">
                          <a:noAutofit/>
                        </wps:bodyPr>
                      </wps:wsp>
                      <wps:wsp>
                        <wps:cNvPr id="2" name="直接箭头连接符 2"/>
                        <wps:cNvCnPr>
                          <a:stCxn id="3" idx="2"/>
                          <a:endCxn id="4" idx="0"/>
                        </wps:cNvCnPr>
                        <wps:spPr>
                          <a:xfrm>
                            <a:off x="2649422" y="485455"/>
                            <a:ext cx="235" cy="43943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文本框 2"/>
                        <wps:cNvSpPr txBox="1">
                          <a:spLocks noChangeArrowheads="1"/>
                        </wps:cNvSpPr>
                        <wps:spPr bwMode="auto">
                          <a:xfrm>
                            <a:off x="2687510" y="592823"/>
                            <a:ext cx="454278" cy="207644"/>
                          </a:xfrm>
                          <a:prstGeom prst="rect">
                            <a:avLst/>
                          </a:prstGeom>
                          <a:noFill/>
                          <a:ln w="9525">
                            <a:noFill/>
                            <a:miter lim="800000"/>
                          </a:ln>
                        </wps:spPr>
                        <wps:txbx>
                          <w:txbxContent>
                            <w:p>
                              <w:pPr>
                                <w:pStyle w:val="10"/>
                                <w:spacing w:before="0" w:beforeAutospacing="0" w:after="0" w:afterAutospacing="0"/>
                                <w:rPr>
                                  <w:rFonts w:hint="eastAsia" w:ascii="Times New Roman Regular" w:hAnsi="Times New Roman Regular" w:cs="Times New Roman Regular"/>
                                  <w:sz w:val="21"/>
                                  <w:szCs w:val="21"/>
                                </w:rPr>
                              </w:pPr>
                              <w:r>
                                <w:rPr>
                                  <w:rFonts w:ascii="Times New Roman Regular" w:hAnsi="Times New Roman Regular" w:cs="Times New Roman Regular"/>
                                  <w:sz w:val="21"/>
                                  <w:szCs w:val="21"/>
                                </w:rPr>
                                <w:t>100%</w:t>
                              </w:r>
                            </w:p>
                          </w:txbxContent>
                        </wps:txbx>
                        <wps:bodyPr rot="0" vert="horz" wrap="square" lIns="0" tIns="0" rIns="0" bIns="0" anchor="t" anchorCtr="0">
                          <a:spAutoFit/>
                        </wps:bodyPr>
                      </wps:wsp>
                      <wps:wsp>
                        <wps:cNvPr id="7" name="文本框 2"/>
                        <wps:cNvSpPr txBox="1">
                          <a:spLocks noChangeArrowheads="1"/>
                        </wps:cNvSpPr>
                        <wps:spPr bwMode="auto">
                          <a:xfrm>
                            <a:off x="1281186" y="1724104"/>
                            <a:ext cx="2736000" cy="359410"/>
                          </a:xfrm>
                          <a:prstGeom prst="rect">
                            <a:avLst/>
                          </a:prstGeom>
                          <a:solidFill>
                            <a:srgbClr val="FFFFFF"/>
                          </a:solidFill>
                          <a:ln w="9525">
                            <a:solidFill>
                              <a:srgbClr val="000000"/>
                            </a:solidFill>
                            <a:miter lim="800000"/>
                          </a:ln>
                        </wps:spPr>
                        <wps:txbx>
                          <w:txbxContent>
                            <w:p>
                              <w:pPr>
                                <w:pStyle w:val="10"/>
                                <w:spacing w:before="0" w:beforeAutospacing="0" w:after="0" w:afterAutospacing="0"/>
                                <w:jc w:val="center"/>
                              </w:pPr>
                              <w:r>
                                <w:rPr>
                                  <w:rFonts w:hint="eastAsia"/>
                                </w:rPr>
                                <w:t>国家能源集团长</w:t>
                              </w:r>
                              <w:r>
                                <w:t>源电力股份</w:t>
                              </w:r>
                              <w:r>
                                <w:rPr>
                                  <w:rFonts w:hint="eastAsia"/>
                                </w:rPr>
                                <w:t>有限公司</w:t>
                              </w:r>
                            </w:p>
                          </w:txbxContent>
                        </wps:txbx>
                        <wps:bodyPr rot="0" vert="horz" wrap="square" lIns="91440" tIns="45720" rIns="91440" bIns="45720" anchor="ctr" anchorCtr="0">
                          <a:noAutofit/>
                        </wps:bodyPr>
                      </wps:wsp>
                      <wps:wsp>
                        <wps:cNvPr id="8" name="直接箭头连接符 8"/>
                        <wps:cNvCnPr>
                          <a:stCxn id="4" idx="2"/>
                          <a:endCxn id="7" idx="0"/>
                        </wps:cNvCnPr>
                        <wps:spPr>
                          <a:xfrm flipH="1">
                            <a:off x="2649186" y="1284894"/>
                            <a:ext cx="471" cy="43921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文本框 2"/>
                        <wps:cNvSpPr txBox="1">
                          <a:spLocks noChangeArrowheads="1"/>
                        </wps:cNvSpPr>
                        <wps:spPr bwMode="auto">
                          <a:xfrm>
                            <a:off x="2694690" y="1403720"/>
                            <a:ext cx="600709" cy="207644"/>
                          </a:xfrm>
                          <a:prstGeom prst="rect">
                            <a:avLst/>
                          </a:prstGeom>
                          <a:noFill/>
                          <a:ln w="9525">
                            <a:noFill/>
                            <a:miter lim="800000"/>
                          </a:ln>
                        </wps:spPr>
                        <wps:txbx>
                          <w:txbxContent>
                            <w:p>
                              <w:pPr>
                                <w:pStyle w:val="10"/>
                                <w:spacing w:before="0" w:beforeAutospacing="0" w:after="0" w:afterAutospacing="0"/>
                                <w:rPr>
                                  <w:rFonts w:hint="eastAsia" w:ascii="Times New Roman Regular" w:hAnsi="Times New Roman Regular" w:cs="Times New Roman Regular"/>
                                </w:rPr>
                              </w:pPr>
                              <w:r>
                                <w:rPr>
                                  <w:rFonts w:ascii="Times New Roman Regular" w:hAnsi="Times New Roman Regular" w:cs="Times New Roman Regular"/>
                                  <w:sz w:val="21"/>
                                  <w:szCs w:val="21"/>
                                </w:rPr>
                                <w:t>67.50%</w:t>
                              </w:r>
                            </w:p>
                          </w:txbxContent>
                        </wps:txbx>
                        <wps:bodyPr rot="0" vert="horz" wrap="square" lIns="0" tIns="0" rIns="0" bIns="0" anchor="t" anchorCtr="0">
                          <a:spAutoFit/>
                        </wps:bodyPr>
                      </wps:wsp>
                    </wpc:wpc>
                  </a:graphicData>
                </a:graphic>
              </wp:inline>
            </w:drawing>
          </mc:Choice>
          <mc:Fallback>
            <w:pict>
              <v:group id="_x0000_s1026" o:spid="_x0000_s1026" o:spt="203" style="height:179.5pt;width:415.3pt;" coordsize="5274310,2279650" editas="canvas" o:gfxdata="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">
                <o:lock v:ext="edit" aspectratio="f"/>
                <v:shape id="_x0000_s1026" o:spid="_x0000_s1026" style="position:absolute;left:0;top:0;height:2279650;width:5274310;" filled="f" stroked="f" coordsize="21600,21600" o:gfxdata="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">
                  <v:fill on="f" focussize="0,0"/>
                  <v:stroke on="f"/>
                  <v:imagedata o:title=""/>
                  <o:lock v:ext="edit" aspectratio="t"/>
                </v:shape>
                <v:shape id="文本框 2" o:spid="_x0000_s1026" o:spt="202" type="#_x0000_t202" style="position:absolute;left:1281422;top:125455;height:360000;width:2736000;v-text-anchor:middle;" fillcolor="#FFFFFF" filled="t" stroked="t" coordsize="21600,21600" o:gfxdata="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fTodPTAAAABQEAAA8AAAAAAAAAAQAgAAAAIgAA&#10;AGRycy9kb3ducmV2LnhtbFBLAQIUABQAAAAIAIdO4kDbS613RgIAAIgEAAAOAAAAAAAAAAEAIAAA&#10;ACIBAABkcnMvZTJvRG9jLnhtbFBLBQYAAAAABgAGAFkBAADaBQAAAAA=&#10;">
                  <v:fill on="t" focussize="0,0"/>
                  <v:stroke color="#000000" miterlimit="8" joinstyle="miter"/>
                  <v:imagedata o:title=""/>
                  <o:lock v:ext="edit" aspectratio="f"/>
                  <v:textbox>
                    <w:txbxContent>
                      <w:p>
                        <w:pPr>
                          <w:pStyle w:val="10"/>
                          <w:spacing w:before="0" w:beforeAutospacing="0" w:after="0" w:afterAutospacing="0"/>
                          <w:jc w:val="center"/>
                        </w:pPr>
                        <w:r>
                          <w:rPr>
                            <w:rFonts w:hint="eastAsia"/>
                          </w:rPr>
                          <w:t>国</w:t>
                        </w:r>
                        <w:r>
                          <w:t>务院</w:t>
                        </w:r>
                        <w:r>
                          <w:rPr>
                            <w:rFonts w:hint="eastAsia"/>
                          </w:rPr>
                          <w:t>国</w:t>
                        </w:r>
                        <w:r>
                          <w:t>资委</w:t>
                        </w:r>
                      </w:p>
                    </w:txbxContent>
                  </v:textbox>
                </v:shape>
                <v:shape id="文本框 2" o:spid="_x0000_s1026" o:spt="202" type="#_x0000_t202" style="position:absolute;left:1281657;top:924894;height:360000;width:2736000;v-text-anchor:middle;" fillcolor="#FFFFFF" filled="t" stroked="t" coordsize="21600,21600" o:gfxdata="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306HT0wAAAAUBAAAPAAAAAAAAAAEAIAAAACIA&#10;AABkcnMvZG93bnJldi54bWxQSwECFAAUAAAACACHTuJAOqnbnEcCAACIBAAADgAAAAAAAAABACAA&#10;AAAiAQAAZHJzL2Uyb0RvYy54bWxQSwUGAAAAAAYABgBZAQAA2wUAAAAA&#10;">
                  <v:fill on="t" focussize="0,0"/>
                  <v:stroke color="#000000" miterlimit="8" joinstyle="miter"/>
                  <v:imagedata o:title=""/>
                  <o:lock v:ext="edit" aspectratio="f"/>
                  <v:textbox>
                    <w:txbxContent>
                      <w:p>
                        <w:pPr>
                          <w:pStyle w:val="10"/>
                          <w:spacing w:before="0" w:beforeAutospacing="0" w:after="0" w:afterAutospacing="0"/>
                          <w:jc w:val="center"/>
                        </w:pPr>
                        <w:r>
                          <w:rPr>
                            <w:rFonts w:hint="eastAsia"/>
                          </w:rPr>
                          <w:t>国家</w:t>
                        </w:r>
                        <w:r>
                          <w:t>能源投资</w:t>
                        </w:r>
                        <w:r>
                          <w:rPr>
                            <w:rFonts w:hint="eastAsia"/>
                          </w:rPr>
                          <w:t>集团</w:t>
                        </w:r>
                        <w:r>
                          <w:t>有限</w:t>
                        </w:r>
                        <w:r>
                          <w:rPr>
                            <w:rFonts w:hint="eastAsia"/>
                          </w:rPr>
                          <w:t>责任</w:t>
                        </w:r>
                        <w:r>
                          <w:t>公司</w:t>
                        </w:r>
                      </w:p>
                    </w:txbxContent>
                  </v:textbox>
                </v:shape>
                <v:shape id="_x0000_s1026" o:spid="_x0000_s1026" o:spt="32" type="#_x0000_t32" style="position:absolute;left:2649422;top:485455;height:439439;width:235;" filled="f" stroked="t" coordsize="21600,21600" o:gfxdata="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U&#10;wwaL1AAAAAUBAAAPAAAAAAAAAAEAIAAAACIAAABkcnMvZG93bnJldi54bWxQSwECFAAUAAAACACH&#10;TuJAJ/CkoCgCAAAuBAAADgAAAAAAAAABACAAAAAjAQAAZHJzL2Uyb0RvYy54bWxQSwUGAAAAAAYA&#10;BgBZAQAAvQUAAAAA&#10;">
                  <v:fill on="f" focussize="0,0"/>
                  <v:stroke weight="1pt" color="#000000 [3213]" miterlimit="8" joinstyle="miter" endarrow="block"/>
                  <v:imagedata o:title=""/>
                  <o:lock v:ext="edit" aspectratio="f"/>
                </v:shape>
                <v:shape id="文本框 2" o:spid="_x0000_s1026" o:spt="202" type="#_x0000_t202" style="position:absolute;left:2687510;top:592823;height:207644;width:454278;" filled="f" stroked="f" coordsize="21600,21600" o:gfxdata="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NhU5bT&#10;AAAABQEAAA8AAAAAAAAAAQAgAAAAIgAAAGRycy9kb3ducmV2LnhtbFBLAQIUABQAAAAIAIdO4kBZ&#10;UK4vJQIAACMEAAAOAAAAAAAAAAEAIAAAACIBAABkcnMvZTJvRG9jLnhtbFBLBQYAAAAABgAGAFkB&#10;AAC5BQAAAAA=&#10;">
                  <v:fill on="f" focussize="0,0"/>
                  <v:stroke on="f" miterlimit="8" joinstyle="miter"/>
                  <v:imagedata o:title=""/>
                  <o:lock v:ext="edit" aspectratio="f"/>
                  <v:textbox inset="0mm,0mm,0mm,0mm" style="mso-fit-shape-to-text:t;">
                    <w:txbxContent>
                      <w:p>
                        <w:pPr>
                          <w:pStyle w:val="10"/>
                          <w:spacing w:before="0" w:beforeAutospacing="0" w:after="0" w:afterAutospacing="0"/>
                          <w:rPr>
                            <w:rFonts w:hint="eastAsia" w:ascii="Times New Roman Regular" w:hAnsi="Times New Roman Regular" w:cs="Times New Roman Regular"/>
                            <w:sz w:val="21"/>
                            <w:szCs w:val="21"/>
                          </w:rPr>
                        </w:pPr>
                        <w:r>
                          <w:rPr>
                            <w:rFonts w:ascii="Times New Roman Regular" w:hAnsi="Times New Roman Regular" w:cs="Times New Roman Regular"/>
                            <w:sz w:val="21"/>
                            <w:szCs w:val="21"/>
                          </w:rPr>
                          <w:t>100%</w:t>
                        </w:r>
                      </w:p>
                    </w:txbxContent>
                  </v:textbox>
                </v:shape>
                <v:shape id="文本框 2" o:spid="_x0000_s1026" o:spt="202" type="#_x0000_t202" style="position:absolute;left:1281186;top:1724104;height:359410;width:2736000;v-text-anchor:middle;" fillcolor="#FFFFFF" filled="t" stroked="t" coordsize="21600,21600" o:gfxdata="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306HT0wAAAAUBAAAPAAAAAAAAAAEAIAAA&#10;ACIAAABkcnMvZG93bnJldi54bWxQSwECFAAUAAAACACHTuJAplDdH0oCAACJBAAADgAAAAAAAAAB&#10;ACAAAAAiAQAAZHJzL2Uyb0RvYy54bWxQSwUGAAAAAAYABgBZAQAA3gUAAAAA&#10;">
                  <v:fill on="t" focussize="0,0"/>
                  <v:stroke color="#000000" miterlimit="8" joinstyle="miter"/>
                  <v:imagedata o:title=""/>
                  <o:lock v:ext="edit" aspectratio="f"/>
                  <v:textbox>
                    <w:txbxContent>
                      <w:p>
                        <w:pPr>
                          <w:pStyle w:val="10"/>
                          <w:spacing w:before="0" w:beforeAutospacing="0" w:after="0" w:afterAutospacing="0"/>
                          <w:jc w:val="center"/>
                        </w:pPr>
                        <w:r>
                          <w:rPr>
                            <w:rFonts w:hint="eastAsia"/>
                          </w:rPr>
                          <w:t>国家能源集团长</w:t>
                        </w:r>
                        <w:r>
                          <w:t>源电力股份</w:t>
                        </w:r>
                        <w:r>
                          <w:rPr>
                            <w:rFonts w:hint="eastAsia"/>
                          </w:rPr>
                          <w:t>有限公司</w:t>
                        </w:r>
                      </w:p>
                    </w:txbxContent>
                  </v:textbox>
                </v:shape>
                <v:shape id="_x0000_s1026" o:spid="_x0000_s1026" o:spt="32" type="#_x0000_t32" style="position:absolute;left:2649186;top:1284894;flip:x;height:439210;width:471;" filled="f" stroked="t" coordsize="21600,21600" o:gfxdata="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5Lo2zSAAAABQEAAA8AAAAAAAAAAQAgAAAAIgAAAGRycy9kb3ducmV2LnhtbFBLAQIU&#10;ABQAAAAIAIdO4kCwxUE3MgIAADkEAAAOAAAAAAAAAAEAIAAAACEBAABkcnMvZTJvRG9jLnhtbFBL&#10;BQYAAAAABgAGAFkBAADFBQAAAAA=&#10;">
                  <v:fill on="f" focussize="0,0"/>
                  <v:stroke weight="1pt" color="#000000 [3213]" miterlimit="8" joinstyle="miter" endarrow="block"/>
                  <v:imagedata o:title=""/>
                  <o:lock v:ext="edit" aspectratio="f"/>
                </v:shape>
                <v:shape id="文本框 2" o:spid="_x0000_s1026" o:spt="202" type="#_x0000_t202" style="position:absolute;left:2694690;top:1403720;height:207644;width:600709;" filled="f" stroked="f" coordsize="21600,21600" o:gfxdata="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NhU5bT&#10;AAAABQEAAA8AAAAAAAAAAQAgAAAAIgAAAGRycy9kb3ducmV2LnhtbFBLAQIUABQAAAAIAIdO4kA3&#10;zv81JQIAACQEAAAOAAAAAAAAAAEAIAAAACIBAABkcnMvZTJvRG9jLnhtbFBLBQYAAAAABgAGAFkB&#10;AAC5BQAAAAA=&#10;">
                  <v:fill on="f" focussize="0,0"/>
                  <v:stroke on="f" miterlimit="8" joinstyle="miter"/>
                  <v:imagedata o:title=""/>
                  <o:lock v:ext="edit" aspectratio="f"/>
                  <v:textbox inset="0mm,0mm,0mm,0mm" style="mso-fit-shape-to-text:t;">
                    <w:txbxContent>
                      <w:p>
                        <w:pPr>
                          <w:pStyle w:val="10"/>
                          <w:spacing w:before="0" w:beforeAutospacing="0" w:after="0" w:afterAutospacing="0"/>
                          <w:rPr>
                            <w:rFonts w:hint="eastAsia" w:ascii="Times New Roman Regular" w:hAnsi="Times New Roman Regular" w:cs="Times New Roman Regular"/>
                          </w:rPr>
                        </w:pPr>
                        <w:r>
                          <w:rPr>
                            <w:rFonts w:ascii="Times New Roman Regular" w:hAnsi="Times New Roman Regular" w:cs="Times New Roman Regular"/>
                            <w:sz w:val="21"/>
                            <w:szCs w:val="21"/>
                          </w:rPr>
                          <w:t>67.50%</w:t>
                        </w:r>
                      </w:p>
                    </w:txbxContent>
                  </v:textbox>
                </v:shape>
                <w10:wrap type="none"/>
                <w10:anchorlock/>
              </v:group>
            </w:pict>
          </mc:Fallback>
        </mc:AlternateContent>
      </w:r>
    </w:p>
    <w:p>
      <w:pPr>
        <w:adjustRightInd w:val="0"/>
        <w:snapToGrid w:val="0"/>
        <w:spacing w:line="380" w:lineRule="exact"/>
        <w:ind w:firstLine="480" w:firstLineChars="200"/>
      </w:pPr>
      <w:r>
        <w:rPr>
          <w:rFonts w:hint="eastAsia"/>
          <w:sz w:val="24"/>
          <w:szCs w:val="24"/>
        </w:rPr>
        <w:t>本次发行的交易对方包含国家能源集团，国家能源集团为公司控股股东（持股比例为</w:t>
      </w:r>
      <w:r>
        <w:rPr>
          <w:sz w:val="24"/>
          <w:szCs w:val="24"/>
        </w:rPr>
        <w:t>67.50%</w:t>
      </w:r>
      <w:r>
        <w:rPr>
          <w:rFonts w:hint="eastAsia"/>
          <w:sz w:val="24"/>
          <w:szCs w:val="24"/>
        </w:rPr>
        <w:t>）。根据《深圳证券交易所股票上市规则》的相关规定，国家能源集团参与本次向特定对象发行股票构成关联交易。</w:t>
      </w:r>
    </w:p>
    <w:p>
      <w:pPr>
        <w:adjustRightInd w:val="0"/>
        <w:snapToGrid w:val="0"/>
        <w:spacing w:line="380" w:lineRule="exact"/>
        <w:ind w:firstLine="480" w:firstLineChars="200"/>
        <w:rPr>
          <w:sz w:val="24"/>
          <w:szCs w:val="24"/>
        </w:rPr>
      </w:pPr>
      <w:r>
        <w:rPr>
          <w:sz w:val="24"/>
          <w:szCs w:val="24"/>
        </w:rPr>
        <w:t>4</w:t>
      </w:r>
      <w:r>
        <w:rPr>
          <w:rFonts w:hint="eastAsia"/>
          <w:sz w:val="24"/>
          <w:szCs w:val="24"/>
        </w:rPr>
        <w:t>. 关联方信用信息</w:t>
      </w:r>
    </w:p>
    <w:p>
      <w:pPr>
        <w:adjustRightInd w:val="0"/>
        <w:snapToGrid w:val="0"/>
        <w:spacing w:line="380" w:lineRule="exact"/>
        <w:ind w:firstLine="480" w:firstLineChars="200"/>
        <w:rPr>
          <w:sz w:val="24"/>
          <w:szCs w:val="24"/>
        </w:rPr>
      </w:pPr>
      <w:r>
        <w:rPr>
          <w:rFonts w:hint="eastAsia"/>
          <w:sz w:val="24"/>
          <w:szCs w:val="24"/>
        </w:rPr>
        <w:t>通过信用中国网站、全国企业信用信息公示系统、中国执行信息公开网、全国法院失信被执行人名单信息公布与查询网站，以及国家发改委和财政部网站等途径查询核实，国家能源集团不是失信被执行人，符合中国证监会相关法规要求。</w:t>
      </w:r>
    </w:p>
    <w:p>
      <w:pPr>
        <w:adjustRightInd w:val="0"/>
        <w:snapToGrid w:val="0"/>
        <w:spacing w:line="380" w:lineRule="exact"/>
        <w:ind w:firstLine="482" w:firstLineChars="200"/>
        <w:rPr>
          <w:b/>
          <w:bCs/>
          <w:sz w:val="24"/>
          <w:szCs w:val="24"/>
        </w:rPr>
      </w:pPr>
      <w:r>
        <w:rPr>
          <w:b/>
          <w:bCs/>
          <w:sz w:val="24"/>
          <w:szCs w:val="24"/>
        </w:rPr>
        <w:t>三、关联</w:t>
      </w:r>
      <w:r>
        <w:rPr>
          <w:rFonts w:hint="eastAsia"/>
          <w:b/>
          <w:bCs/>
          <w:sz w:val="24"/>
          <w:szCs w:val="24"/>
        </w:rPr>
        <w:t>交易标的基本情况</w:t>
      </w:r>
      <w:r>
        <w:rPr>
          <w:b/>
          <w:bCs/>
          <w:sz w:val="24"/>
          <w:szCs w:val="24"/>
        </w:rPr>
        <w:t xml:space="preserve"> </w:t>
      </w:r>
    </w:p>
    <w:p>
      <w:pPr>
        <w:adjustRightInd w:val="0"/>
        <w:snapToGrid w:val="0"/>
        <w:spacing w:line="380" w:lineRule="exact"/>
        <w:ind w:firstLine="480" w:firstLineChars="200"/>
        <w:rPr>
          <w:sz w:val="24"/>
          <w:szCs w:val="24"/>
        </w:rPr>
      </w:pPr>
      <w:r>
        <w:rPr>
          <w:rFonts w:hint="eastAsia"/>
          <w:sz w:val="24"/>
          <w:szCs w:val="24"/>
        </w:rPr>
        <w:t>本次发行股票的数量按照募集资金总额除以发行价格确定，且不超过本次发行前公司总股本的</w:t>
      </w:r>
      <w:r>
        <w:rPr>
          <w:sz w:val="24"/>
          <w:szCs w:val="24"/>
        </w:rPr>
        <w:t>30%</w:t>
      </w:r>
      <w:r>
        <w:rPr>
          <w:rFonts w:hint="eastAsia"/>
          <w:sz w:val="24"/>
          <w:szCs w:val="24"/>
        </w:rPr>
        <w:t>，即不超过</w:t>
      </w:r>
      <w:r>
        <w:rPr>
          <w:sz w:val="24"/>
          <w:szCs w:val="24"/>
        </w:rPr>
        <w:t>824,798,309</w:t>
      </w:r>
      <w:r>
        <w:rPr>
          <w:rFonts w:hint="eastAsia"/>
          <w:sz w:val="24"/>
          <w:szCs w:val="24"/>
        </w:rPr>
        <w:t>股（含本数）。根据认购协议的约定，国家能源集团拟认购金额不低于</w:t>
      </w:r>
      <w:r>
        <w:rPr>
          <w:sz w:val="24"/>
          <w:szCs w:val="24"/>
        </w:rPr>
        <w:t>90,000</w:t>
      </w:r>
      <w:r>
        <w:rPr>
          <w:rFonts w:hint="eastAsia"/>
          <w:sz w:val="24"/>
          <w:szCs w:val="24"/>
        </w:rPr>
        <w:t>万元（</w:t>
      </w:r>
      <w:r>
        <w:rPr>
          <w:rFonts w:hint="eastAsia"/>
          <w:sz w:val="24"/>
          <w:szCs w:val="24"/>
          <w:lang w:val="en-US" w:eastAsia="zh-CN"/>
        </w:rPr>
        <w:t>不</w:t>
      </w:r>
      <w:r>
        <w:rPr>
          <w:rFonts w:hint="eastAsia"/>
          <w:sz w:val="24"/>
          <w:szCs w:val="24"/>
        </w:rPr>
        <w:t>含本数）且不超过</w:t>
      </w:r>
      <w:r>
        <w:rPr>
          <w:sz w:val="24"/>
          <w:szCs w:val="24"/>
        </w:rPr>
        <w:t>150,000</w:t>
      </w:r>
      <w:r>
        <w:rPr>
          <w:rFonts w:hint="eastAsia"/>
          <w:sz w:val="24"/>
          <w:szCs w:val="24"/>
        </w:rPr>
        <w:t>万元（不含本数）。</w:t>
      </w:r>
    </w:p>
    <w:p>
      <w:pPr>
        <w:adjustRightInd w:val="0"/>
        <w:snapToGrid w:val="0"/>
        <w:spacing w:line="380" w:lineRule="exact"/>
        <w:ind w:firstLine="482" w:firstLineChars="200"/>
        <w:rPr>
          <w:b/>
          <w:bCs/>
          <w:sz w:val="24"/>
          <w:szCs w:val="24"/>
        </w:rPr>
      </w:pPr>
      <w:r>
        <w:rPr>
          <w:rFonts w:hint="eastAsia"/>
          <w:b/>
          <w:bCs/>
          <w:sz w:val="24"/>
          <w:szCs w:val="24"/>
        </w:rPr>
        <w:t>四、定价政策及定价依据</w:t>
      </w:r>
    </w:p>
    <w:p>
      <w:pPr>
        <w:adjustRightInd w:val="0"/>
        <w:snapToGrid w:val="0"/>
        <w:spacing w:line="380" w:lineRule="exact"/>
        <w:ind w:firstLine="480" w:firstLineChars="200"/>
        <w:rPr>
          <w:sz w:val="24"/>
          <w:szCs w:val="24"/>
        </w:rPr>
      </w:pPr>
      <w:r>
        <w:rPr>
          <w:rFonts w:hint="eastAsia"/>
          <w:sz w:val="24"/>
          <w:szCs w:val="24"/>
        </w:rPr>
        <w:t>本次发行的定价基准日为本次发行股票发行期首日。本次发行的发行价格不低于定价基准日前</w:t>
      </w:r>
      <w:r>
        <w:rPr>
          <w:sz w:val="24"/>
          <w:szCs w:val="24"/>
        </w:rPr>
        <w:t>20</w:t>
      </w:r>
      <w:r>
        <w:rPr>
          <w:rFonts w:hint="eastAsia"/>
          <w:sz w:val="24"/>
          <w:szCs w:val="24"/>
        </w:rPr>
        <w:t>个交易日公司股票交易均价的</w:t>
      </w:r>
      <w:r>
        <w:rPr>
          <w:sz w:val="24"/>
          <w:szCs w:val="24"/>
        </w:rPr>
        <w:t>80%</w:t>
      </w:r>
      <w:r>
        <w:rPr>
          <w:rFonts w:hint="eastAsia"/>
          <w:sz w:val="24"/>
          <w:szCs w:val="24"/>
        </w:rPr>
        <w:t>（定价基准日前</w:t>
      </w:r>
      <w:r>
        <w:rPr>
          <w:sz w:val="24"/>
          <w:szCs w:val="24"/>
        </w:rPr>
        <w:t>20</w:t>
      </w:r>
      <w:r>
        <w:rPr>
          <w:rFonts w:hint="eastAsia"/>
          <w:sz w:val="24"/>
          <w:szCs w:val="24"/>
        </w:rPr>
        <w:t>个交易日股票交易均价</w:t>
      </w:r>
      <w:r>
        <w:rPr>
          <w:sz w:val="24"/>
          <w:szCs w:val="24"/>
        </w:rPr>
        <w:t>=</w:t>
      </w:r>
      <w:r>
        <w:rPr>
          <w:rFonts w:hint="eastAsia"/>
          <w:sz w:val="24"/>
          <w:szCs w:val="24"/>
        </w:rPr>
        <w:t>定价基准日前</w:t>
      </w:r>
      <w:r>
        <w:rPr>
          <w:sz w:val="24"/>
          <w:szCs w:val="24"/>
        </w:rPr>
        <w:t>20</w:t>
      </w:r>
      <w:r>
        <w:rPr>
          <w:rFonts w:hint="eastAsia"/>
          <w:sz w:val="24"/>
          <w:szCs w:val="24"/>
        </w:rPr>
        <w:t>个交易日股票交易总额</w:t>
      </w:r>
      <w:r>
        <w:rPr>
          <w:sz w:val="24"/>
          <w:szCs w:val="24"/>
        </w:rPr>
        <w:t>/</w:t>
      </w:r>
      <w:r>
        <w:rPr>
          <w:rFonts w:hint="eastAsia"/>
          <w:sz w:val="24"/>
          <w:szCs w:val="24"/>
        </w:rPr>
        <w:t>定价基准日前</w:t>
      </w:r>
      <w:r>
        <w:rPr>
          <w:sz w:val="24"/>
          <w:szCs w:val="24"/>
        </w:rPr>
        <w:t>20</w:t>
      </w:r>
      <w:r>
        <w:rPr>
          <w:rFonts w:hint="eastAsia"/>
          <w:sz w:val="24"/>
          <w:szCs w:val="24"/>
        </w:rPr>
        <w:t>个交易日股票交易总量），且不低于发行前公司最近一年末经审计的归属于普通股股东每股净资产（资产负债表日至发行日期间发生除权、除息事项的，每股净资产将进行相应调整）。</w:t>
      </w:r>
    </w:p>
    <w:p>
      <w:pPr>
        <w:adjustRightInd w:val="0"/>
        <w:snapToGrid w:val="0"/>
        <w:spacing w:line="380" w:lineRule="exact"/>
        <w:ind w:firstLine="482" w:firstLineChars="200"/>
        <w:rPr>
          <w:b/>
          <w:bCs/>
          <w:sz w:val="24"/>
          <w:szCs w:val="24"/>
        </w:rPr>
      </w:pPr>
      <w:r>
        <w:rPr>
          <w:b/>
          <w:bCs/>
          <w:sz w:val="24"/>
          <w:szCs w:val="24"/>
        </w:rPr>
        <w:t>五、</w:t>
      </w:r>
      <w:r>
        <w:rPr>
          <w:rFonts w:hint="eastAsia"/>
          <w:b/>
          <w:bCs/>
          <w:sz w:val="24"/>
          <w:szCs w:val="24"/>
        </w:rPr>
        <w:t>协议</w:t>
      </w:r>
      <w:r>
        <w:rPr>
          <w:b/>
          <w:bCs/>
          <w:sz w:val="24"/>
          <w:szCs w:val="24"/>
        </w:rPr>
        <w:t xml:space="preserve">主要内容 </w:t>
      </w:r>
    </w:p>
    <w:p>
      <w:pPr>
        <w:adjustRightInd w:val="0"/>
        <w:snapToGrid w:val="0"/>
        <w:spacing w:line="380" w:lineRule="exact"/>
        <w:ind w:firstLine="482" w:firstLineChars="200"/>
        <w:rPr>
          <w:b/>
          <w:bCs/>
          <w:sz w:val="24"/>
          <w:szCs w:val="24"/>
        </w:rPr>
      </w:pPr>
      <w:r>
        <w:rPr>
          <w:rFonts w:hint="eastAsia"/>
          <w:b/>
          <w:bCs/>
          <w:sz w:val="24"/>
          <w:szCs w:val="24"/>
        </w:rPr>
        <w:t>（一）</w:t>
      </w:r>
      <w:r>
        <w:rPr>
          <w:b/>
          <w:bCs/>
          <w:sz w:val="24"/>
          <w:szCs w:val="24"/>
        </w:rPr>
        <w:t>合同</w:t>
      </w:r>
      <w:r>
        <w:rPr>
          <w:rFonts w:hint="eastAsia"/>
          <w:b/>
          <w:bCs/>
          <w:sz w:val="24"/>
          <w:szCs w:val="24"/>
        </w:rPr>
        <w:t>主体</w:t>
      </w:r>
    </w:p>
    <w:p>
      <w:pPr>
        <w:adjustRightInd w:val="0"/>
        <w:snapToGrid w:val="0"/>
        <w:spacing w:line="380" w:lineRule="exact"/>
        <w:ind w:firstLine="480" w:firstLineChars="200"/>
        <w:rPr>
          <w:sz w:val="24"/>
          <w:szCs w:val="24"/>
        </w:rPr>
      </w:pPr>
      <w:r>
        <w:rPr>
          <w:rFonts w:hint="eastAsia"/>
          <w:sz w:val="24"/>
          <w:szCs w:val="24"/>
        </w:rPr>
        <w:t>甲方：国家能源集团长源电力股份有限公司</w:t>
      </w:r>
      <w:r>
        <w:rPr>
          <w:sz w:val="24"/>
          <w:szCs w:val="24"/>
        </w:rPr>
        <w:t xml:space="preserve"> </w:t>
      </w:r>
    </w:p>
    <w:p>
      <w:pPr>
        <w:adjustRightInd w:val="0"/>
        <w:snapToGrid w:val="0"/>
        <w:spacing w:line="380" w:lineRule="exact"/>
        <w:ind w:firstLine="480" w:firstLineChars="200"/>
        <w:rPr>
          <w:sz w:val="24"/>
          <w:szCs w:val="24"/>
        </w:rPr>
      </w:pPr>
      <w:r>
        <w:rPr>
          <w:rFonts w:hint="eastAsia"/>
          <w:sz w:val="24"/>
          <w:szCs w:val="24"/>
        </w:rPr>
        <w:t>乙方：国家能源投资集团有限责任公司</w:t>
      </w:r>
      <w:r>
        <w:rPr>
          <w:sz w:val="24"/>
          <w:szCs w:val="24"/>
        </w:rPr>
        <w:t xml:space="preserve"> </w:t>
      </w:r>
    </w:p>
    <w:p>
      <w:pPr>
        <w:adjustRightInd w:val="0"/>
        <w:snapToGrid w:val="0"/>
        <w:spacing w:line="380" w:lineRule="exact"/>
        <w:ind w:firstLine="482" w:firstLineChars="200"/>
        <w:rPr>
          <w:b/>
          <w:bCs/>
          <w:sz w:val="24"/>
          <w:szCs w:val="24"/>
        </w:rPr>
      </w:pPr>
      <w:r>
        <w:rPr>
          <w:rFonts w:hint="eastAsia"/>
          <w:b/>
          <w:bCs/>
          <w:sz w:val="24"/>
          <w:szCs w:val="24"/>
        </w:rPr>
        <w:t>（二）股份认购</w:t>
      </w:r>
    </w:p>
    <w:p>
      <w:pPr>
        <w:adjustRightInd w:val="0"/>
        <w:snapToGrid w:val="0"/>
        <w:spacing w:line="380" w:lineRule="exact"/>
        <w:ind w:firstLine="480" w:firstLineChars="200"/>
        <w:rPr>
          <w:sz w:val="24"/>
          <w:szCs w:val="24"/>
        </w:rPr>
      </w:pPr>
      <w:r>
        <w:rPr>
          <w:sz w:val="24"/>
          <w:szCs w:val="24"/>
        </w:rPr>
        <w:t>1</w:t>
      </w:r>
      <w:r>
        <w:rPr>
          <w:rFonts w:hint="eastAsia"/>
          <w:sz w:val="24"/>
          <w:szCs w:val="24"/>
        </w:rPr>
        <w:t>. 认购价格</w:t>
      </w:r>
    </w:p>
    <w:p>
      <w:pPr>
        <w:adjustRightInd w:val="0"/>
        <w:snapToGrid w:val="0"/>
        <w:spacing w:line="380" w:lineRule="exact"/>
        <w:ind w:firstLine="480" w:firstLineChars="200"/>
        <w:rPr>
          <w:sz w:val="24"/>
          <w:szCs w:val="24"/>
        </w:rPr>
      </w:pPr>
      <w:r>
        <w:rPr>
          <w:rFonts w:hint="eastAsia"/>
          <w:sz w:val="24"/>
          <w:szCs w:val="24"/>
        </w:rPr>
        <w:t>甲乙双方同意根据《上市公司证券发行注册管理办法》（以下简称《管理办法》）的规定作为本次向特定对象发行股票的定价依据。本次发行的定价基准日为本次发行股票发行期首日。本次发行的发行价格不低于定价基准日前</w:t>
      </w:r>
      <w:r>
        <w:rPr>
          <w:sz w:val="24"/>
          <w:szCs w:val="24"/>
        </w:rPr>
        <w:t>20</w:t>
      </w:r>
      <w:r>
        <w:rPr>
          <w:rFonts w:hint="eastAsia"/>
          <w:sz w:val="24"/>
          <w:szCs w:val="24"/>
        </w:rPr>
        <w:t>个交易日公司股票交易均价的</w:t>
      </w:r>
      <w:r>
        <w:rPr>
          <w:sz w:val="24"/>
          <w:szCs w:val="24"/>
        </w:rPr>
        <w:t>80%</w:t>
      </w:r>
      <w:r>
        <w:rPr>
          <w:rFonts w:hint="eastAsia"/>
          <w:sz w:val="24"/>
          <w:szCs w:val="24"/>
        </w:rPr>
        <w:t>（定价基准日前</w:t>
      </w:r>
      <w:r>
        <w:rPr>
          <w:sz w:val="24"/>
          <w:szCs w:val="24"/>
        </w:rPr>
        <w:t>20</w:t>
      </w:r>
      <w:r>
        <w:rPr>
          <w:rFonts w:hint="eastAsia"/>
          <w:sz w:val="24"/>
          <w:szCs w:val="24"/>
        </w:rPr>
        <w:t>个交易日股票交易均价</w:t>
      </w:r>
      <w:r>
        <w:rPr>
          <w:sz w:val="24"/>
          <w:szCs w:val="24"/>
        </w:rPr>
        <w:t>=</w:t>
      </w:r>
      <w:r>
        <w:rPr>
          <w:rFonts w:hint="eastAsia"/>
          <w:sz w:val="24"/>
          <w:szCs w:val="24"/>
        </w:rPr>
        <w:t>定价基准日前</w:t>
      </w:r>
      <w:r>
        <w:rPr>
          <w:sz w:val="24"/>
          <w:szCs w:val="24"/>
        </w:rPr>
        <w:t>20</w:t>
      </w:r>
      <w:r>
        <w:rPr>
          <w:rFonts w:hint="eastAsia"/>
          <w:sz w:val="24"/>
          <w:szCs w:val="24"/>
        </w:rPr>
        <w:t>个交易日股票交易总额</w:t>
      </w:r>
      <w:r>
        <w:rPr>
          <w:sz w:val="24"/>
          <w:szCs w:val="24"/>
        </w:rPr>
        <w:t>/</w:t>
      </w:r>
      <w:r>
        <w:rPr>
          <w:rFonts w:hint="eastAsia"/>
          <w:sz w:val="24"/>
          <w:szCs w:val="24"/>
        </w:rPr>
        <w:t>定价基准日前</w:t>
      </w:r>
      <w:r>
        <w:rPr>
          <w:sz w:val="24"/>
          <w:szCs w:val="24"/>
        </w:rPr>
        <w:t>20</w:t>
      </w:r>
      <w:r>
        <w:rPr>
          <w:rFonts w:hint="eastAsia"/>
          <w:sz w:val="24"/>
          <w:szCs w:val="24"/>
        </w:rPr>
        <w:t>个交易日股票交易总量），且不低于发行前公司最近一年末经审计的归属于普通股股东每股净资产（资产负债表日至发行日期间发生除权、除息事项的，每股净资产将进行相应调整）。</w:t>
      </w:r>
    </w:p>
    <w:p>
      <w:pPr>
        <w:adjustRightInd w:val="0"/>
        <w:snapToGrid w:val="0"/>
        <w:spacing w:line="380" w:lineRule="exact"/>
        <w:ind w:firstLine="480" w:firstLineChars="200"/>
        <w:rPr>
          <w:sz w:val="24"/>
          <w:szCs w:val="24"/>
        </w:rPr>
      </w:pPr>
      <w:r>
        <w:rPr>
          <w:sz w:val="24"/>
          <w:szCs w:val="24"/>
        </w:rPr>
        <w:t>2</w:t>
      </w:r>
      <w:r>
        <w:rPr>
          <w:rFonts w:hint="eastAsia"/>
          <w:sz w:val="24"/>
          <w:szCs w:val="24"/>
        </w:rPr>
        <w:t>. 认购方式及认购数量</w:t>
      </w:r>
    </w:p>
    <w:p>
      <w:pPr>
        <w:adjustRightInd w:val="0"/>
        <w:snapToGrid w:val="0"/>
        <w:spacing w:line="380" w:lineRule="exact"/>
        <w:ind w:firstLine="480" w:firstLineChars="200"/>
        <w:rPr>
          <w:sz w:val="24"/>
          <w:szCs w:val="24"/>
        </w:rPr>
      </w:pPr>
      <w:r>
        <w:rPr>
          <w:rFonts w:hint="eastAsia"/>
          <w:sz w:val="24"/>
          <w:szCs w:val="24"/>
        </w:rPr>
        <w:t>（</w:t>
      </w:r>
      <w:r>
        <w:rPr>
          <w:sz w:val="24"/>
          <w:szCs w:val="24"/>
        </w:rPr>
        <w:t>1</w:t>
      </w:r>
      <w:r>
        <w:rPr>
          <w:rFonts w:hint="eastAsia"/>
          <w:sz w:val="24"/>
          <w:szCs w:val="24"/>
        </w:rPr>
        <w:t>）甲方本次向特定对象发行股票的数量按照募集资金总额除以发行价格确定，且不超过本次发行前甲方总股本的</w:t>
      </w:r>
      <w:r>
        <w:rPr>
          <w:sz w:val="24"/>
          <w:szCs w:val="24"/>
        </w:rPr>
        <w:t>30%</w:t>
      </w:r>
      <w:r>
        <w:rPr>
          <w:rFonts w:hint="eastAsia"/>
          <w:sz w:val="24"/>
          <w:szCs w:val="24"/>
        </w:rPr>
        <w:t>，即不超过</w:t>
      </w:r>
      <w:r>
        <w:rPr>
          <w:sz w:val="24"/>
          <w:szCs w:val="24"/>
        </w:rPr>
        <w:t>824,798,309</w:t>
      </w:r>
      <w:r>
        <w:rPr>
          <w:rFonts w:hint="eastAsia"/>
          <w:sz w:val="24"/>
          <w:szCs w:val="24"/>
        </w:rPr>
        <w:t>股（含本数）。最终发行数量由甲方股东大会授权董事会根据发行时的实际情况，与本次向特定对象发行的保荐机构（主承销商）协商确定。本次发行股票募集资金总额不超过</w:t>
      </w:r>
      <w:r>
        <w:rPr>
          <w:sz w:val="24"/>
          <w:szCs w:val="24"/>
        </w:rPr>
        <w:t>300,000</w:t>
      </w:r>
      <w:r>
        <w:rPr>
          <w:rFonts w:hint="eastAsia"/>
          <w:sz w:val="24"/>
          <w:szCs w:val="24"/>
        </w:rPr>
        <w:t>万元（含本数）。</w:t>
      </w:r>
    </w:p>
    <w:p>
      <w:pPr>
        <w:adjustRightInd w:val="0"/>
        <w:snapToGrid w:val="0"/>
        <w:spacing w:line="380" w:lineRule="exact"/>
        <w:ind w:firstLine="480" w:firstLineChars="200"/>
        <w:rPr>
          <w:sz w:val="24"/>
          <w:szCs w:val="24"/>
        </w:rPr>
      </w:pPr>
      <w:r>
        <w:rPr>
          <w:rFonts w:hint="eastAsia"/>
          <w:sz w:val="24"/>
          <w:szCs w:val="24"/>
        </w:rPr>
        <w:t>（</w:t>
      </w:r>
      <w:r>
        <w:rPr>
          <w:sz w:val="24"/>
          <w:szCs w:val="24"/>
        </w:rPr>
        <w:t>2</w:t>
      </w:r>
      <w:r>
        <w:rPr>
          <w:rFonts w:hint="eastAsia"/>
          <w:sz w:val="24"/>
          <w:szCs w:val="24"/>
        </w:rPr>
        <w:t>）乙方同意根据本协议的约定，认购金额不低于人民币</w:t>
      </w:r>
      <w:r>
        <w:rPr>
          <w:sz w:val="24"/>
          <w:szCs w:val="24"/>
        </w:rPr>
        <w:t>90,000</w:t>
      </w:r>
      <w:r>
        <w:rPr>
          <w:rFonts w:hint="eastAsia"/>
          <w:sz w:val="24"/>
          <w:szCs w:val="24"/>
        </w:rPr>
        <w:t>万元（</w:t>
      </w:r>
      <w:r>
        <w:rPr>
          <w:rFonts w:hint="eastAsia"/>
          <w:sz w:val="24"/>
          <w:szCs w:val="24"/>
          <w:lang w:val="en-US" w:eastAsia="zh-CN"/>
        </w:rPr>
        <w:t>不</w:t>
      </w:r>
      <w:r>
        <w:rPr>
          <w:rFonts w:hint="eastAsia"/>
          <w:sz w:val="24"/>
          <w:szCs w:val="24"/>
        </w:rPr>
        <w:t>含本数）且不超过人民币</w:t>
      </w:r>
      <w:r>
        <w:rPr>
          <w:sz w:val="24"/>
          <w:szCs w:val="24"/>
        </w:rPr>
        <w:t>150,000</w:t>
      </w:r>
      <w:r>
        <w:rPr>
          <w:rFonts w:hint="eastAsia"/>
          <w:sz w:val="24"/>
          <w:szCs w:val="24"/>
        </w:rPr>
        <w:t>万元（不含本数）。</w:t>
      </w:r>
    </w:p>
    <w:p>
      <w:pPr>
        <w:adjustRightInd w:val="0"/>
        <w:snapToGrid w:val="0"/>
        <w:spacing w:line="380" w:lineRule="exact"/>
        <w:ind w:firstLine="480" w:firstLineChars="200"/>
        <w:rPr>
          <w:sz w:val="24"/>
          <w:szCs w:val="24"/>
        </w:rPr>
      </w:pPr>
      <w:r>
        <w:rPr>
          <w:rFonts w:hint="eastAsia"/>
          <w:sz w:val="24"/>
          <w:szCs w:val="24"/>
        </w:rPr>
        <w:t>（</w:t>
      </w:r>
      <w:r>
        <w:rPr>
          <w:sz w:val="24"/>
          <w:szCs w:val="24"/>
        </w:rPr>
        <w:t>3</w:t>
      </w:r>
      <w:r>
        <w:rPr>
          <w:rFonts w:hint="eastAsia"/>
          <w:sz w:val="24"/>
          <w:szCs w:val="24"/>
        </w:rPr>
        <w:t>）乙方以现金方式认购甲方本次发行的股票。</w:t>
      </w:r>
    </w:p>
    <w:p>
      <w:pPr>
        <w:adjustRightInd w:val="0"/>
        <w:snapToGrid w:val="0"/>
        <w:spacing w:line="380" w:lineRule="exact"/>
        <w:ind w:firstLine="480" w:firstLineChars="200"/>
        <w:rPr>
          <w:sz w:val="24"/>
          <w:szCs w:val="24"/>
        </w:rPr>
      </w:pPr>
      <w:r>
        <w:rPr>
          <w:rFonts w:hint="eastAsia"/>
          <w:sz w:val="24"/>
          <w:szCs w:val="24"/>
        </w:rPr>
        <w:t>（</w:t>
      </w:r>
      <w:r>
        <w:rPr>
          <w:sz w:val="24"/>
          <w:szCs w:val="24"/>
        </w:rPr>
        <w:t>4</w:t>
      </w:r>
      <w:r>
        <w:rPr>
          <w:rFonts w:hint="eastAsia"/>
          <w:sz w:val="24"/>
          <w:szCs w:val="24"/>
        </w:rPr>
        <w:t>）甲方向特定对象发行的股票为人民币普通股（</w:t>
      </w:r>
      <w:r>
        <w:rPr>
          <w:sz w:val="24"/>
          <w:szCs w:val="24"/>
        </w:rPr>
        <w:t>A</w:t>
      </w:r>
      <w:r>
        <w:rPr>
          <w:rFonts w:hint="eastAsia"/>
          <w:sz w:val="24"/>
          <w:szCs w:val="24"/>
        </w:rPr>
        <w:t>股），每股面值为人民币</w:t>
      </w:r>
      <w:r>
        <w:rPr>
          <w:sz w:val="24"/>
          <w:szCs w:val="24"/>
        </w:rPr>
        <w:t>1.00</w:t>
      </w:r>
      <w:r>
        <w:rPr>
          <w:rFonts w:hint="eastAsia"/>
          <w:sz w:val="24"/>
          <w:szCs w:val="24"/>
        </w:rPr>
        <w:t>元。</w:t>
      </w:r>
    </w:p>
    <w:p>
      <w:pPr>
        <w:adjustRightInd w:val="0"/>
        <w:snapToGrid w:val="0"/>
        <w:spacing w:line="380" w:lineRule="exact"/>
        <w:ind w:firstLine="480" w:firstLineChars="200"/>
        <w:rPr>
          <w:sz w:val="24"/>
          <w:szCs w:val="24"/>
        </w:rPr>
      </w:pPr>
      <w:r>
        <w:rPr>
          <w:rFonts w:hint="eastAsia"/>
          <w:sz w:val="24"/>
          <w:szCs w:val="24"/>
        </w:rPr>
        <w:t>若公司股票在本次发行的董事会决议日至发行日期间发生送红股、资本公积金转增股本或因其他原因导致本次发行前甲方总股本发生变动的，则本次发行的发行数量上限将按照中国证监会及深交所的相关规则作出相应调整。若本次发行拟募集资金金额或发行股份数量因监管政策变化或发行审核、注册文件的要求等情况进行调整的，则公司本次发行的股份数量将作相应调整。</w:t>
      </w:r>
    </w:p>
    <w:p>
      <w:pPr>
        <w:adjustRightInd w:val="0"/>
        <w:snapToGrid w:val="0"/>
        <w:spacing w:line="380" w:lineRule="exact"/>
        <w:ind w:firstLine="480" w:firstLineChars="200"/>
        <w:rPr>
          <w:sz w:val="24"/>
          <w:szCs w:val="24"/>
        </w:rPr>
      </w:pPr>
      <w:r>
        <w:rPr>
          <w:sz w:val="24"/>
          <w:szCs w:val="24"/>
        </w:rPr>
        <w:t>3</w:t>
      </w:r>
      <w:r>
        <w:rPr>
          <w:rFonts w:hint="eastAsia"/>
          <w:sz w:val="24"/>
          <w:szCs w:val="24"/>
        </w:rPr>
        <w:t>. 认购价款的支付</w:t>
      </w:r>
    </w:p>
    <w:p>
      <w:pPr>
        <w:adjustRightInd w:val="0"/>
        <w:snapToGrid w:val="0"/>
        <w:spacing w:line="380" w:lineRule="exact"/>
        <w:ind w:firstLine="480" w:firstLineChars="200"/>
        <w:rPr>
          <w:sz w:val="24"/>
          <w:szCs w:val="24"/>
        </w:rPr>
      </w:pPr>
      <w:r>
        <w:rPr>
          <w:rFonts w:hint="eastAsia"/>
          <w:sz w:val="24"/>
          <w:szCs w:val="24"/>
        </w:rPr>
        <w:t>（</w:t>
      </w:r>
      <w:r>
        <w:rPr>
          <w:sz w:val="24"/>
          <w:szCs w:val="24"/>
        </w:rPr>
        <w:t>1</w:t>
      </w:r>
      <w:r>
        <w:rPr>
          <w:rFonts w:hint="eastAsia"/>
          <w:sz w:val="24"/>
          <w:szCs w:val="24"/>
        </w:rPr>
        <w:t>）在本协议生效后，乙方应根据甲方或本次发行保荐人（主承销商）发出的书面认购缴款通知，按照甲方与保荐人确定的具体缴款日期将认购资金足额汇入保荐人（主承销商）为本次发行专门开立的账户。经会计师事务所验资完毕并扣除相关发行费用后，再划入甲方开立的募集资金专项存储账户；</w:t>
      </w:r>
    </w:p>
    <w:p>
      <w:pPr>
        <w:adjustRightInd w:val="0"/>
        <w:snapToGrid w:val="0"/>
        <w:spacing w:line="380" w:lineRule="exact"/>
        <w:ind w:firstLine="480" w:firstLineChars="200"/>
        <w:rPr>
          <w:sz w:val="24"/>
          <w:szCs w:val="24"/>
        </w:rPr>
      </w:pPr>
      <w:r>
        <w:rPr>
          <w:rFonts w:hint="eastAsia"/>
          <w:sz w:val="24"/>
          <w:szCs w:val="24"/>
        </w:rPr>
        <w:t>（2）本协议生效后，乙方需按照主承销商的要求足额、按时支付股票认购价款，乙方在接到甲方或本次发行保荐人（主承销商）发出的《缴款通知书》后，未按照《缴款通知书》的要求足额、按时支付的，乙方需按照本协议承担违约责任。</w:t>
      </w:r>
    </w:p>
    <w:p>
      <w:pPr>
        <w:adjustRightInd w:val="0"/>
        <w:snapToGrid w:val="0"/>
        <w:spacing w:line="380" w:lineRule="exact"/>
        <w:ind w:firstLine="480" w:firstLineChars="200"/>
        <w:rPr>
          <w:sz w:val="24"/>
          <w:szCs w:val="24"/>
        </w:rPr>
      </w:pPr>
      <w:r>
        <w:rPr>
          <w:sz w:val="24"/>
          <w:szCs w:val="24"/>
        </w:rPr>
        <w:t>4</w:t>
      </w:r>
      <w:r>
        <w:rPr>
          <w:rFonts w:hint="eastAsia"/>
          <w:sz w:val="24"/>
          <w:szCs w:val="24"/>
        </w:rPr>
        <w:t>. 验资与股份登记</w:t>
      </w:r>
    </w:p>
    <w:p>
      <w:pPr>
        <w:adjustRightInd w:val="0"/>
        <w:snapToGrid w:val="0"/>
        <w:spacing w:line="380" w:lineRule="exact"/>
        <w:ind w:firstLine="480" w:firstLineChars="200"/>
        <w:rPr>
          <w:sz w:val="24"/>
          <w:szCs w:val="24"/>
        </w:rPr>
      </w:pPr>
      <w:r>
        <w:rPr>
          <w:rFonts w:hint="eastAsia"/>
          <w:sz w:val="24"/>
          <w:szCs w:val="24"/>
        </w:rPr>
        <w:t>（</w:t>
      </w:r>
      <w:r>
        <w:rPr>
          <w:sz w:val="24"/>
          <w:szCs w:val="24"/>
        </w:rPr>
        <w:t>1</w:t>
      </w:r>
      <w:r>
        <w:rPr>
          <w:rFonts w:hint="eastAsia"/>
          <w:sz w:val="24"/>
          <w:szCs w:val="24"/>
        </w:rPr>
        <w:t>）甲方应于收到乙方股份认购价款后及时指定符合《证券法》规定的中国注册会计师对乙方支付的股份认购价款进行审验并出具验资报告；</w:t>
      </w:r>
    </w:p>
    <w:p>
      <w:pPr>
        <w:adjustRightInd w:val="0"/>
        <w:snapToGrid w:val="0"/>
        <w:spacing w:line="380" w:lineRule="exact"/>
        <w:ind w:firstLine="480" w:firstLineChars="200"/>
        <w:rPr>
          <w:sz w:val="24"/>
          <w:szCs w:val="24"/>
        </w:rPr>
      </w:pPr>
      <w:r>
        <w:rPr>
          <w:rFonts w:hint="eastAsia"/>
          <w:sz w:val="24"/>
          <w:szCs w:val="24"/>
        </w:rPr>
        <w:t>（</w:t>
      </w:r>
      <w:r>
        <w:rPr>
          <w:sz w:val="24"/>
          <w:szCs w:val="24"/>
        </w:rPr>
        <w:t>2</w:t>
      </w:r>
      <w:r>
        <w:rPr>
          <w:rFonts w:hint="eastAsia"/>
          <w:sz w:val="24"/>
          <w:szCs w:val="24"/>
        </w:rPr>
        <w:t>）验资报告出具以后，除因相关法律法规、政策限制及出现不可抗力因素外，甲方应在</w:t>
      </w:r>
      <w:r>
        <w:rPr>
          <w:sz w:val="24"/>
          <w:szCs w:val="24"/>
        </w:rPr>
        <w:t>30</w:t>
      </w:r>
      <w:r>
        <w:rPr>
          <w:rFonts w:hint="eastAsia"/>
          <w:sz w:val="24"/>
          <w:szCs w:val="24"/>
        </w:rPr>
        <w:t>个工作日内向中国证券登记结算有限责任公司提交将乙方登记为本交易项下所认购</w:t>
      </w:r>
      <w:r>
        <w:rPr>
          <w:sz w:val="24"/>
          <w:szCs w:val="24"/>
        </w:rPr>
        <w:t>A</w:t>
      </w:r>
      <w:r>
        <w:rPr>
          <w:rFonts w:hint="eastAsia"/>
          <w:sz w:val="24"/>
          <w:szCs w:val="24"/>
        </w:rPr>
        <w:t>股股份合法持有人的书面申请，将乙方认购的股份通过中国证券登记结算有限责任公司的证券登记系统记入乙方名下，以实现交付，乙方同意给予必要的配合。</w:t>
      </w:r>
    </w:p>
    <w:p>
      <w:pPr>
        <w:adjustRightInd w:val="0"/>
        <w:snapToGrid w:val="0"/>
        <w:spacing w:line="380" w:lineRule="exact"/>
        <w:ind w:firstLine="482" w:firstLineChars="200"/>
        <w:rPr>
          <w:b/>
          <w:bCs/>
          <w:sz w:val="24"/>
          <w:szCs w:val="24"/>
        </w:rPr>
      </w:pPr>
      <w:r>
        <w:rPr>
          <w:rFonts w:hint="eastAsia"/>
          <w:b/>
          <w:bCs/>
          <w:sz w:val="24"/>
          <w:szCs w:val="24"/>
        </w:rPr>
        <w:t>（三）锁定期</w:t>
      </w:r>
    </w:p>
    <w:p>
      <w:pPr>
        <w:adjustRightInd w:val="0"/>
        <w:snapToGrid w:val="0"/>
        <w:spacing w:line="380" w:lineRule="exact"/>
        <w:ind w:firstLine="480" w:firstLineChars="200"/>
        <w:rPr>
          <w:sz w:val="24"/>
          <w:szCs w:val="24"/>
        </w:rPr>
      </w:pPr>
      <w:r>
        <w:rPr>
          <w:sz w:val="24"/>
          <w:szCs w:val="24"/>
        </w:rPr>
        <w:t>1</w:t>
      </w:r>
      <w:r>
        <w:rPr>
          <w:rFonts w:hint="eastAsia"/>
          <w:sz w:val="24"/>
          <w:szCs w:val="24"/>
        </w:rPr>
        <w:t>. 根据《管理办法》等相关规定并结合乙方自身规划，乙方承诺其在本协议项下认购的股票应在本次向特定对象发行结束之日起</w:t>
      </w:r>
      <w:r>
        <w:rPr>
          <w:sz w:val="24"/>
          <w:szCs w:val="24"/>
        </w:rPr>
        <w:t>18</w:t>
      </w:r>
      <w:r>
        <w:rPr>
          <w:rFonts w:hint="eastAsia"/>
          <w:sz w:val="24"/>
          <w:szCs w:val="24"/>
        </w:rPr>
        <w:t>个月内予以锁定，不得转让。</w:t>
      </w:r>
    </w:p>
    <w:p>
      <w:pPr>
        <w:adjustRightInd w:val="0"/>
        <w:snapToGrid w:val="0"/>
        <w:spacing w:line="380" w:lineRule="exact"/>
        <w:ind w:firstLine="480" w:firstLineChars="200"/>
        <w:rPr>
          <w:sz w:val="24"/>
          <w:szCs w:val="24"/>
        </w:rPr>
      </w:pPr>
      <w:r>
        <w:rPr>
          <w:sz w:val="24"/>
          <w:szCs w:val="24"/>
        </w:rPr>
        <w:t>2</w:t>
      </w:r>
      <w:r>
        <w:rPr>
          <w:rFonts w:hint="eastAsia"/>
          <w:sz w:val="24"/>
          <w:szCs w:val="24"/>
        </w:rPr>
        <w:t>. 乙方应按照相关法律法规和中国证监会、深交所的相关规定就本次向特定对象发行中认购的股份出具相关锁定承诺，并配合甲方办理相关股票锁定事宜。</w:t>
      </w:r>
    </w:p>
    <w:p>
      <w:pPr>
        <w:adjustRightInd w:val="0"/>
        <w:snapToGrid w:val="0"/>
        <w:spacing w:line="380" w:lineRule="exact"/>
        <w:ind w:firstLine="480" w:firstLineChars="200"/>
        <w:rPr>
          <w:sz w:val="24"/>
          <w:szCs w:val="24"/>
        </w:rPr>
      </w:pPr>
      <w:r>
        <w:rPr>
          <w:sz w:val="24"/>
          <w:szCs w:val="24"/>
        </w:rPr>
        <w:t>3</w:t>
      </w:r>
      <w:r>
        <w:rPr>
          <w:rFonts w:hint="eastAsia"/>
          <w:sz w:val="24"/>
          <w:szCs w:val="24"/>
        </w:rPr>
        <w:t>. 如果中国证监会及</w:t>
      </w:r>
      <w:r>
        <w:rPr>
          <w:sz w:val="24"/>
          <w:szCs w:val="24"/>
        </w:rPr>
        <w:t>/</w:t>
      </w:r>
      <w:r>
        <w:rPr>
          <w:rFonts w:hint="eastAsia"/>
          <w:sz w:val="24"/>
          <w:szCs w:val="24"/>
        </w:rPr>
        <w:t>或深交所对于上述锁定期安排的监管意见进行调整，乙方同意无条件按照中国证监会及</w:t>
      </w:r>
      <w:r>
        <w:rPr>
          <w:sz w:val="24"/>
          <w:szCs w:val="24"/>
        </w:rPr>
        <w:t>/</w:t>
      </w:r>
      <w:r>
        <w:rPr>
          <w:rFonts w:hint="eastAsia"/>
          <w:sz w:val="24"/>
          <w:szCs w:val="24"/>
        </w:rPr>
        <w:t>或深交所的意见对上述限售期安排进行修订并予执行。对于本次认购的股份，解除锁定后的转让将按照届时有效的法律法规和深交所的规则办理。</w:t>
      </w:r>
    </w:p>
    <w:p>
      <w:pPr>
        <w:adjustRightInd w:val="0"/>
        <w:snapToGrid w:val="0"/>
        <w:spacing w:line="380" w:lineRule="exact"/>
        <w:ind w:firstLine="480" w:firstLineChars="200"/>
        <w:rPr>
          <w:sz w:val="24"/>
          <w:szCs w:val="24"/>
        </w:rPr>
      </w:pPr>
      <w:r>
        <w:rPr>
          <w:sz w:val="24"/>
          <w:szCs w:val="24"/>
        </w:rPr>
        <w:t>4</w:t>
      </w:r>
      <w:r>
        <w:rPr>
          <w:rFonts w:hint="eastAsia"/>
          <w:sz w:val="24"/>
          <w:szCs w:val="24"/>
        </w:rPr>
        <w:t>. 本次发行结束后，乙方认购的本次向特定对象发行的股份由于甲方发生送红股、资本公积金转增股本等原因增加的部分，亦遵守</w:t>
      </w:r>
      <w:r>
        <w:rPr>
          <w:sz w:val="24"/>
          <w:szCs w:val="24"/>
        </w:rPr>
        <w:t>协议3.1</w:t>
      </w:r>
      <w:r>
        <w:rPr>
          <w:rFonts w:hint="eastAsia"/>
          <w:sz w:val="24"/>
          <w:szCs w:val="24"/>
        </w:rPr>
        <w:t>、</w:t>
      </w:r>
      <w:r>
        <w:rPr>
          <w:sz w:val="24"/>
          <w:szCs w:val="24"/>
        </w:rPr>
        <w:t>3.2</w:t>
      </w:r>
      <w:r>
        <w:rPr>
          <w:rFonts w:hint="eastAsia"/>
          <w:sz w:val="24"/>
          <w:szCs w:val="24"/>
        </w:rPr>
        <w:t>、</w:t>
      </w:r>
      <w:r>
        <w:rPr>
          <w:sz w:val="24"/>
          <w:szCs w:val="24"/>
        </w:rPr>
        <w:t>3.3</w:t>
      </w:r>
      <w:r>
        <w:rPr>
          <w:rFonts w:hint="eastAsia"/>
          <w:sz w:val="24"/>
          <w:szCs w:val="24"/>
        </w:rPr>
        <w:t>条之约定。</w:t>
      </w:r>
    </w:p>
    <w:p>
      <w:pPr>
        <w:adjustRightInd w:val="0"/>
        <w:snapToGrid w:val="0"/>
        <w:spacing w:line="380" w:lineRule="exact"/>
        <w:ind w:firstLine="482" w:firstLineChars="200"/>
        <w:rPr>
          <w:b/>
          <w:bCs/>
          <w:sz w:val="24"/>
          <w:szCs w:val="24"/>
        </w:rPr>
      </w:pPr>
      <w:r>
        <w:rPr>
          <w:rFonts w:hint="eastAsia"/>
          <w:b/>
          <w:bCs/>
          <w:sz w:val="24"/>
          <w:szCs w:val="24"/>
        </w:rPr>
        <w:t>（四）协议的成立和生效</w:t>
      </w:r>
    </w:p>
    <w:p>
      <w:pPr>
        <w:adjustRightInd w:val="0"/>
        <w:snapToGrid w:val="0"/>
        <w:spacing w:line="380" w:lineRule="exact"/>
        <w:ind w:firstLine="480" w:firstLineChars="200"/>
        <w:rPr>
          <w:sz w:val="24"/>
          <w:szCs w:val="24"/>
        </w:rPr>
      </w:pPr>
      <w:r>
        <w:rPr>
          <w:sz w:val="24"/>
          <w:szCs w:val="24"/>
        </w:rPr>
        <w:t>1</w:t>
      </w:r>
      <w:r>
        <w:rPr>
          <w:rFonts w:hint="eastAsia"/>
          <w:sz w:val="24"/>
          <w:szCs w:val="24"/>
        </w:rPr>
        <w:t>. 本协议经双方法定代表人或授权代表签字并加盖公章或合同专用章后成立。</w:t>
      </w:r>
    </w:p>
    <w:p>
      <w:pPr>
        <w:adjustRightInd w:val="0"/>
        <w:snapToGrid w:val="0"/>
        <w:spacing w:line="380" w:lineRule="exact"/>
        <w:ind w:firstLine="480" w:firstLineChars="200"/>
        <w:rPr>
          <w:sz w:val="24"/>
          <w:szCs w:val="24"/>
        </w:rPr>
      </w:pPr>
      <w:r>
        <w:rPr>
          <w:sz w:val="24"/>
          <w:szCs w:val="24"/>
        </w:rPr>
        <w:t>2</w:t>
      </w:r>
      <w:r>
        <w:rPr>
          <w:rFonts w:hint="eastAsia"/>
          <w:sz w:val="24"/>
          <w:szCs w:val="24"/>
        </w:rPr>
        <w:t>. 本协议在如下所有条件均满足之日起生效：</w:t>
      </w:r>
    </w:p>
    <w:p>
      <w:pPr>
        <w:adjustRightInd w:val="0"/>
        <w:snapToGrid w:val="0"/>
        <w:spacing w:line="380" w:lineRule="exact"/>
        <w:ind w:firstLine="480" w:firstLineChars="200"/>
        <w:rPr>
          <w:sz w:val="24"/>
          <w:szCs w:val="24"/>
        </w:rPr>
      </w:pPr>
      <w:r>
        <w:rPr>
          <w:rFonts w:hint="eastAsia"/>
          <w:sz w:val="24"/>
          <w:szCs w:val="24"/>
        </w:rPr>
        <w:t>（</w:t>
      </w:r>
      <w:r>
        <w:rPr>
          <w:sz w:val="24"/>
          <w:szCs w:val="24"/>
        </w:rPr>
        <w:t>1</w:t>
      </w:r>
      <w:r>
        <w:rPr>
          <w:rFonts w:hint="eastAsia"/>
          <w:sz w:val="24"/>
          <w:szCs w:val="24"/>
        </w:rPr>
        <w:t>）本次向特定对象发行依法经甲方董事会审议通过，并获得甲方股东大会批准；</w:t>
      </w:r>
    </w:p>
    <w:p>
      <w:pPr>
        <w:adjustRightInd w:val="0"/>
        <w:snapToGrid w:val="0"/>
        <w:spacing w:line="380" w:lineRule="exact"/>
        <w:ind w:firstLine="480" w:firstLineChars="200"/>
        <w:rPr>
          <w:sz w:val="24"/>
          <w:szCs w:val="24"/>
        </w:rPr>
      </w:pPr>
      <w:r>
        <w:rPr>
          <w:rFonts w:hint="eastAsia"/>
          <w:sz w:val="24"/>
          <w:szCs w:val="24"/>
        </w:rPr>
        <w:t>（</w:t>
      </w:r>
      <w:r>
        <w:rPr>
          <w:sz w:val="24"/>
          <w:szCs w:val="24"/>
        </w:rPr>
        <w:t>2</w:t>
      </w:r>
      <w:r>
        <w:rPr>
          <w:rFonts w:hint="eastAsia"/>
          <w:sz w:val="24"/>
          <w:szCs w:val="24"/>
        </w:rPr>
        <w:t>）本次向特定对象发行依法获得深交所的审核通过；</w:t>
      </w:r>
    </w:p>
    <w:p>
      <w:pPr>
        <w:adjustRightInd w:val="0"/>
        <w:snapToGrid w:val="0"/>
        <w:spacing w:line="380" w:lineRule="exact"/>
        <w:ind w:firstLine="480" w:firstLineChars="200"/>
        <w:rPr>
          <w:sz w:val="24"/>
          <w:szCs w:val="24"/>
        </w:rPr>
      </w:pPr>
      <w:r>
        <w:rPr>
          <w:rFonts w:hint="eastAsia"/>
          <w:sz w:val="24"/>
          <w:szCs w:val="24"/>
        </w:rPr>
        <w:t>（</w:t>
      </w:r>
      <w:r>
        <w:rPr>
          <w:sz w:val="24"/>
          <w:szCs w:val="24"/>
        </w:rPr>
        <w:t>3</w:t>
      </w:r>
      <w:r>
        <w:rPr>
          <w:rFonts w:hint="eastAsia"/>
          <w:sz w:val="24"/>
          <w:szCs w:val="24"/>
        </w:rPr>
        <w:t>）本次向特定对象发行依法获得中国证监会的注册。</w:t>
      </w:r>
    </w:p>
    <w:p>
      <w:pPr>
        <w:adjustRightInd w:val="0"/>
        <w:snapToGrid w:val="0"/>
        <w:spacing w:line="380" w:lineRule="exact"/>
        <w:ind w:firstLine="480" w:firstLineChars="200"/>
        <w:rPr>
          <w:sz w:val="24"/>
          <w:szCs w:val="24"/>
        </w:rPr>
      </w:pPr>
      <w:r>
        <w:rPr>
          <w:rFonts w:hint="eastAsia"/>
          <w:sz w:val="24"/>
          <w:szCs w:val="24"/>
        </w:rPr>
        <w:t>如本次向特定对象发行结束前，监管部门对本次向特定对象发行适用的法律、法规予以修订，提出其他强制性审批要求或豁免部分行政许可事项的，则以届时生效的法律、法规为准进行调整。</w:t>
      </w:r>
    </w:p>
    <w:p>
      <w:pPr>
        <w:adjustRightInd w:val="0"/>
        <w:snapToGrid w:val="0"/>
        <w:spacing w:line="380" w:lineRule="exact"/>
        <w:ind w:firstLine="480" w:firstLineChars="200"/>
        <w:rPr>
          <w:sz w:val="24"/>
          <w:szCs w:val="24"/>
        </w:rPr>
      </w:pPr>
      <w:r>
        <w:rPr>
          <w:sz w:val="24"/>
          <w:szCs w:val="24"/>
        </w:rPr>
        <w:t>3</w:t>
      </w:r>
      <w:r>
        <w:rPr>
          <w:rFonts w:hint="eastAsia"/>
          <w:sz w:val="24"/>
          <w:szCs w:val="24"/>
        </w:rPr>
        <w:t>. 在本协议成立后，双方均应积极努力，为本协议生效的先决条件的满足和成就创造条件，任何一方违反本协议的规定导致本协议不生效并造成对方损失的，均应承担赔偿责任。非因双方的原因致使本协议不能生效的（包括但不限于甲方股东大会未批准本次向特定对象发行、深交所未予审核通过或中国证监会未予注册本次向特定对象发行），双方均不需要承担责任，但一方存在故意或严重过失造成先决条件未满足的情况除外。</w:t>
      </w:r>
    </w:p>
    <w:p>
      <w:pPr>
        <w:adjustRightInd w:val="0"/>
        <w:snapToGrid w:val="0"/>
        <w:spacing w:line="380" w:lineRule="exact"/>
        <w:ind w:firstLine="482" w:firstLineChars="200"/>
        <w:rPr>
          <w:b/>
          <w:bCs/>
          <w:sz w:val="24"/>
          <w:szCs w:val="24"/>
        </w:rPr>
      </w:pPr>
      <w:r>
        <w:rPr>
          <w:rFonts w:hint="eastAsia"/>
          <w:b/>
          <w:bCs/>
          <w:sz w:val="24"/>
          <w:szCs w:val="24"/>
        </w:rPr>
        <w:t>（五）本次向特定对象发行前滚存未分配利润的安排</w:t>
      </w:r>
    </w:p>
    <w:p>
      <w:pPr>
        <w:adjustRightInd w:val="0"/>
        <w:snapToGrid w:val="0"/>
        <w:spacing w:line="380" w:lineRule="exact"/>
        <w:ind w:firstLine="480" w:firstLineChars="200"/>
        <w:rPr>
          <w:sz w:val="24"/>
          <w:szCs w:val="24"/>
        </w:rPr>
      </w:pPr>
      <w:r>
        <w:rPr>
          <w:rFonts w:hint="eastAsia"/>
          <w:sz w:val="24"/>
          <w:szCs w:val="24"/>
        </w:rPr>
        <w:t>本次向特定对象发行股票发行结束后，甲方在截至本次发行结束前滚存的未分配利润将由本次发行完成后的新老股东按照发行后的持股比例共享。</w:t>
      </w:r>
    </w:p>
    <w:p>
      <w:pPr>
        <w:adjustRightInd w:val="0"/>
        <w:snapToGrid w:val="0"/>
        <w:spacing w:line="380" w:lineRule="exact"/>
        <w:ind w:firstLine="482" w:firstLineChars="200"/>
        <w:rPr>
          <w:b/>
          <w:bCs/>
          <w:sz w:val="24"/>
          <w:szCs w:val="24"/>
        </w:rPr>
      </w:pPr>
      <w:r>
        <w:rPr>
          <w:rFonts w:hint="eastAsia"/>
          <w:b/>
          <w:bCs/>
          <w:sz w:val="24"/>
          <w:szCs w:val="24"/>
        </w:rPr>
        <w:t>（六）违约责任</w:t>
      </w:r>
    </w:p>
    <w:p>
      <w:pPr>
        <w:adjustRightInd w:val="0"/>
        <w:snapToGrid w:val="0"/>
        <w:spacing w:line="380" w:lineRule="exact"/>
        <w:ind w:firstLine="480" w:firstLineChars="200"/>
        <w:rPr>
          <w:sz w:val="24"/>
          <w:szCs w:val="24"/>
        </w:rPr>
      </w:pPr>
      <w:r>
        <w:rPr>
          <w:sz w:val="24"/>
          <w:szCs w:val="24"/>
        </w:rPr>
        <w:t>1</w:t>
      </w:r>
      <w:r>
        <w:rPr>
          <w:rFonts w:hint="eastAsia"/>
          <w:sz w:val="24"/>
          <w:szCs w:val="24"/>
        </w:rPr>
        <w:t>. 甲、乙双方一致同意，如任一方因违反其在本协议中所作的声明、保证或承诺，或违反、不履行本协议项下的部分或全部义务的，均视为违约，该方（以下称违约方）应在收到未违反本协议的另一方（以下简称守约方）向其发送的要求其纠正的通知之日起</w:t>
      </w:r>
      <w:r>
        <w:rPr>
          <w:sz w:val="24"/>
          <w:szCs w:val="24"/>
        </w:rPr>
        <w:t>30</w:t>
      </w:r>
      <w:r>
        <w:rPr>
          <w:rFonts w:hint="eastAsia"/>
          <w:sz w:val="24"/>
          <w:szCs w:val="24"/>
        </w:rPr>
        <w:t>日内纠正其违约行为；如该等期限届满后，违约方仍未纠正其违约行为，则守约方有权单方解除本协议，并要求违约方赔偿守约方因违约方的违约行为而遭受的所有损失（包括为避免损失而支出的合理费用）。</w:t>
      </w:r>
    </w:p>
    <w:p>
      <w:pPr>
        <w:adjustRightInd w:val="0"/>
        <w:snapToGrid w:val="0"/>
        <w:spacing w:line="380" w:lineRule="exact"/>
        <w:ind w:firstLine="480" w:firstLineChars="200"/>
        <w:rPr>
          <w:sz w:val="24"/>
          <w:szCs w:val="24"/>
        </w:rPr>
      </w:pPr>
      <w:r>
        <w:rPr>
          <w:sz w:val="24"/>
          <w:szCs w:val="24"/>
        </w:rPr>
        <w:t>2</w:t>
      </w:r>
      <w:r>
        <w:rPr>
          <w:rFonts w:hint="eastAsia"/>
          <w:sz w:val="24"/>
          <w:szCs w:val="24"/>
        </w:rPr>
        <w:t xml:space="preserve">. </w:t>
      </w:r>
      <w:r>
        <w:rPr>
          <w:rFonts w:hint="eastAsia"/>
          <w:color w:val="000000"/>
          <w:kern w:val="0"/>
          <w:sz w:val="24"/>
          <w:szCs w:val="24"/>
        </w:rPr>
        <w:t>本协议生效后，因乙方原因，乙方明确向甲方书面表示不参与本次发行认购或虽无书面表示但乙方拒绝按照本协议约定支付相应认购价款，构成对本协议的根本违约，甲方有权解除协议并要求乙方支付其应付认购价款的万分之一作为违约金。</w:t>
      </w:r>
    </w:p>
    <w:p>
      <w:pPr>
        <w:numPr>
          <w:ilvl w:val="255"/>
          <w:numId w:val="0"/>
        </w:numPr>
        <w:adjustRightInd w:val="0"/>
        <w:snapToGrid w:val="0"/>
        <w:spacing w:line="380" w:lineRule="exact"/>
        <w:ind w:firstLine="480" w:firstLineChars="200"/>
        <w:rPr>
          <w:sz w:val="24"/>
          <w:szCs w:val="24"/>
        </w:rPr>
      </w:pPr>
      <w:r>
        <w:rPr>
          <w:sz w:val="24"/>
          <w:szCs w:val="24"/>
        </w:rPr>
        <w:t>3</w:t>
      </w:r>
      <w:r>
        <w:rPr>
          <w:rFonts w:hint="eastAsia"/>
          <w:sz w:val="24"/>
          <w:szCs w:val="24"/>
        </w:rPr>
        <w:t>. 若乙方未按照《缴款通知书》的要求足额支付协议项下股份认购价款的，则构成乙方违约，甲方有权要求乙方每延迟一日，按缴纳认购价款的万分之一向甲方支付逾期违约金；如乙方逾期付款超过</w:t>
      </w:r>
      <w:r>
        <w:rPr>
          <w:sz w:val="24"/>
          <w:szCs w:val="24"/>
        </w:rPr>
        <w:t>30</w:t>
      </w:r>
      <w:r>
        <w:rPr>
          <w:rFonts w:hint="eastAsia"/>
          <w:sz w:val="24"/>
          <w:szCs w:val="24"/>
        </w:rPr>
        <w:t>个工作日，甲方有权解除协议，并有权要求乙方按照协议约定支付根本违约之违约金。</w:t>
      </w:r>
    </w:p>
    <w:p>
      <w:pPr>
        <w:numPr>
          <w:ilvl w:val="255"/>
          <w:numId w:val="0"/>
        </w:numPr>
        <w:adjustRightInd w:val="0"/>
        <w:snapToGrid w:val="0"/>
        <w:spacing w:line="380" w:lineRule="exact"/>
        <w:ind w:firstLine="480" w:firstLineChars="200"/>
        <w:rPr>
          <w:sz w:val="24"/>
          <w:szCs w:val="24"/>
        </w:rPr>
      </w:pPr>
      <w:r>
        <w:rPr>
          <w:sz w:val="24"/>
          <w:szCs w:val="24"/>
        </w:rPr>
        <w:t>4</w:t>
      </w:r>
      <w:r>
        <w:rPr>
          <w:rFonts w:hint="eastAsia"/>
          <w:sz w:val="24"/>
          <w:szCs w:val="24"/>
        </w:rPr>
        <w:t>. 本协议约定的向特定对象发行</w:t>
      </w:r>
      <w:r>
        <w:rPr>
          <w:sz w:val="24"/>
          <w:szCs w:val="24"/>
        </w:rPr>
        <w:t>A</w:t>
      </w:r>
      <w:r>
        <w:rPr>
          <w:rFonts w:hint="eastAsia"/>
          <w:sz w:val="24"/>
          <w:szCs w:val="24"/>
        </w:rPr>
        <w:t>股股票和认购事宜如未获得以下审议通过：（</w:t>
      </w:r>
      <w:r>
        <w:rPr>
          <w:sz w:val="24"/>
          <w:szCs w:val="24"/>
        </w:rPr>
        <w:t>1</w:t>
      </w:r>
      <w:r>
        <w:rPr>
          <w:rFonts w:hint="eastAsia"/>
          <w:sz w:val="24"/>
          <w:szCs w:val="24"/>
        </w:rPr>
        <w:t>）甲方董事会；（</w:t>
      </w:r>
      <w:r>
        <w:rPr>
          <w:sz w:val="24"/>
          <w:szCs w:val="24"/>
        </w:rPr>
        <w:t>2</w:t>
      </w:r>
      <w:r>
        <w:rPr>
          <w:rFonts w:hint="eastAsia"/>
          <w:sz w:val="24"/>
          <w:szCs w:val="24"/>
        </w:rPr>
        <w:t>）甲方股东大会；（</w:t>
      </w:r>
      <w:r>
        <w:rPr>
          <w:sz w:val="24"/>
          <w:szCs w:val="24"/>
        </w:rPr>
        <w:t>3</w:t>
      </w:r>
      <w:r>
        <w:rPr>
          <w:rFonts w:hint="eastAsia"/>
          <w:sz w:val="24"/>
          <w:szCs w:val="24"/>
        </w:rPr>
        <w:t>）深交所的核准；（</w:t>
      </w:r>
      <w:r>
        <w:rPr>
          <w:sz w:val="24"/>
          <w:szCs w:val="24"/>
        </w:rPr>
        <w:t>4</w:t>
      </w:r>
      <w:r>
        <w:rPr>
          <w:rFonts w:hint="eastAsia"/>
          <w:sz w:val="24"/>
          <w:szCs w:val="24"/>
        </w:rPr>
        <w:t>）中国证监会的注册，不构成违约。</w:t>
      </w:r>
    </w:p>
    <w:p>
      <w:pPr>
        <w:adjustRightInd w:val="0"/>
        <w:snapToGrid w:val="0"/>
        <w:spacing w:line="380" w:lineRule="exact"/>
        <w:ind w:firstLine="480" w:firstLineChars="200"/>
        <w:rPr>
          <w:sz w:val="24"/>
          <w:szCs w:val="24"/>
        </w:rPr>
      </w:pPr>
      <w:r>
        <w:rPr>
          <w:sz w:val="24"/>
          <w:szCs w:val="24"/>
        </w:rPr>
        <w:t>5</w:t>
      </w:r>
      <w:r>
        <w:rPr>
          <w:rFonts w:hint="eastAsia"/>
          <w:sz w:val="24"/>
          <w:szCs w:val="24"/>
        </w:rPr>
        <w:t>. 本协议生效后，甲方应依据</w:t>
      </w:r>
      <w:r>
        <w:rPr>
          <w:sz w:val="24"/>
          <w:szCs w:val="24"/>
        </w:rPr>
        <w:t>协议</w:t>
      </w:r>
      <w:r>
        <w:rPr>
          <w:rFonts w:hint="eastAsia"/>
          <w:sz w:val="24"/>
          <w:szCs w:val="24"/>
        </w:rPr>
        <w:t>约定及时为乙方办理股份登记。如甲方逾期办理的，乙方有权要求甲方每延迟一日，按缴纳认购价款的万分之一向乙方支付逾期违约金，如因甲方原因，导致逾期办理登记超过</w:t>
      </w:r>
      <w:r>
        <w:rPr>
          <w:sz w:val="24"/>
          <w:szCs w:val="24"/>
        </w:rPr>
        <w:t>30</w:t>
      </w:r>
      <w:r>
        <w:rPr>
          <w:rFonts w:hint="eastAsia"/>
          <w:sz w:val="24"/>
          <w:szCs w:val="24"/>
        </w:rPr>
        <w:t>个工作日，乙方有权解除协议并要求甲方支付乙方已支付认购价款的</w:t>
      </w:r>
      <w:r>
        <w:rPr>
          <w:sz w:val="24"/>
          <w:szCs w:val="24"/>
        </w:rPr>
        <w:t>1%</w:t>
      </w:r>
      <w:r>
        <w:rPr>
          <w:rFonts w:hint="eastAsia"/>
          <w:sz w:val="24"/>
          <w:szCs w:val="24"/>
        </w:rPr>
        <w:t>作为违约金。</w:t>
      </w:r>
    </w:p>
    <w:p>
      <w:pPr>
        <w:adjustRightInd w:val="0"/>
        <w:snapToGrid w:val="0"/>
        <w:spacing w:line="380" w:lineRule="exact"/>
        <w:ind w:firstLine="482" w:firstLineChars="200"/>
        <w:rPr>
          <w:b/>
          <w:bCs/>
          <w:sz w:val="24"/>
          <w:szCs w:val="24"/>
        </w:rPr>
      </w:pPr>
      <w:r>
        <w:rPr>
          <w:b/>
          <w:bCs/>
          <w:sz w:val="24"/>
          <w:szCs w:val="24"/>
        </w:rPr>
        <w:t xml:space="preserve">六、交易目的和对上市公司的影响 </w:t>
      </w:r>
    </w:p>
    <w:p>
      <w:pPr>
        <w:adjustRightInd w:val="0"/>
        <w:snapToGrid w:val="0"/>
        <w:spacing w:line="380" w:lineRule="exact"/>
        <w:ind w:firstLine="480" w:firstLineChars="200"/>
        <w:rPr>
          <w:sz w:val="24"/>
          <w:szCs w:val="24"/>
        </w:rPr>
      </w:pPr>
      <w:r>
        <w:rPr>
          <w:rFonts w:hint="eastAsia"/>
          <w:sz w:val="24"/>
          <w:szCs w:val="24"/>
        </w:rPr>
        <w:t>本次向特定对象发行股票</w:t>
      </w:r>
      <w:r>
        <w:rPr>
          <w:sz w:val="24"/>
          <w:szCs w:val="24"/>
        </w:rPr>
        <w:t>有利于增强公司的资金实力，降低资产负债率，优化资本结构，改善公司财务状况，增强公司抵御风险能力；有助于公司绿色转型发展，进一步提升公司业绩，提高上市公司质量，</w:t>
      </w:r>
      <w:r>
        <w:rPr>
          <w:rFonts w:hint="eastAsia"/>
          <w:sz w:val="24"/>
          <w:szCs w:val="24"/>
        </w:rPr>
        <w:t>为公司后续参与湖北省内综合能源服务以及进一步实现绿色能源转型发展提供良好支撑。国家能源集团认购公司本次向特定对象发行股票，有助于彰显公司控股股东对电力行业以及公司未来发展前景的坚定信心，有利于公司长期稳定发展，增强投资者信心，进而实现公司股东利益最大化。</w:t>
      </w:r>
    </w:p>
    <w:p>
      <w:pPr>
        <w:adjustRightInd w:val="0"/>
        <w:snapToGrid w:val="0"/>
        <w:spacing w:line="380" w:lineRule="exact"/>
        <w:ind w:firstLine="480" w:firstLineChars="200"/>
        <w:rPr>
          <w:sz w:val="24"/>
          <w:szCs w:val="24"/>
        </w:rPr>
      </w:pPr>
      <w:r>
        <w:rPr>
          <w:rFonts w:hint="eastAsia"/>
          <w:sz w:val="24"/>
          <w:szCs w:val="24"/>
        </w:rPr>
        <w:t>本次发行完成后，不会导致公司控股股东及实际控制人发生变化，不会导致公司股本结构发生重大变化，高级管理人员结构也不会发生变化。本次发行是优化公司资本结构、防范财务风险的重要举措，且不涉及资产收购事项。公司不存在资金、资产被控股股东、实际控制人及其关联人占用的情形，也不存在公司为控股股东、实际控制人及其关联人提供担保的情</w:t>
      </w:r>
      <w:r>
        <w:rPr>
          <w:sz w:val="24"/>
          <w:szCs w:val="24"/>
        </w:rPr>
        <w:t>形</w:t>
      </w:r>
      <w:r>
        <w:rPr>
          <w:rFonts w:hint="eastAsia"/>
          <w:sz w:val="24"/>
          <w:szCs w:val="24"/>
        </w:rPr>
        <w:t>。</w:t>
      </w:r>
    </w:p>
    <w:p>
      <w:pPr>
        <w:adjustRightInd w:val="0"/>
        <w:snapToGrid w:val="0"/>
        <w:spacing w:line="380" w:lineRule="exact"/>
        <w:ind w:firstLine="482" w:firstLineChars="200"/>
        <w:rPr>
          <w:b/>
          <w:bCs/>
          <w:sz w:val="24"/>
          <w:szCs w:val="24"/>
        </w:rPr>
      </w:pPr>
      <w:r>
        <w:rPr>
          <w:rFonts w:hint="eastAsia"/>
          <w:b/>
          <w:bCs/>
          <w:sz w:val="24"/>
          <w:szCs w:val="24"/>
        </w:rPr>
        <w:t>七、当年年初至披露日与该关联人累计已发生的各类关联交易的总金额</w:t>
      </w:r>
    </w:p>
    <w:p>
      <w:pPr>
        <w:pStyle w:val="6"/>
        <w:spacing w:line="380" w:lineRule="exact"/>
        <w:rPr>
          <w:rFonts w:ascii="Times New Roman" w:eastAsia="宋体"/>
        </w:rPr>
      </w:pPr>
      <w:r>
        <w:rPr>
          <w:rFonts w:hint="eastAsia" w:ascii="Times New Roman" w:eastAsia="宋体"/>
        </w:rPr>
        <w:t>本年年初至披露日，公司与控股股东累计已发生的各类关联交易的总金额约为372</w:t>
      </w:r>
      <w:r>
        <w:rPr>
          <w:rFonts w:ascii="Times New Roman" w:eastAsia="宋体"/>
        </w:rPr>
        <w:t>,</w:t>
      </w:r>
      <w:r>
        <w:rPr>
          <w:rFonts w:hint="eastAsia" w:ascii="Times New Roman" w:eastAsia="宋体"/>
        </w:rPr>
        <w:t>383万元。</w:t>
      </w:r>
    </w:p>
    <w:p>
      <w:pPr>
        <w:widowControl/>
        <w:snapToGrid w:val="0"/>
        <w:spacing w:line="380" w:lineRule="exact"/>
        <w:ind w:firstLine="434" w:firstLineChars="181"/>
        <w:textAlignment w:val="baseline"/>
        <w:rPr>
          <w:rStyle w:val="31"/>
          <w:sz w:val="24"/>
          <w:szCs w:val="24"/>
        </w:rPr>
      </w:pPr>
      <w:r>
        <w:rPr>
          <w:rStyle w:val="31"/>
          <w:sz w:val="24"/>
          <w:szCs w:val="24"/>
        </w:rPr>
        <w:t>本次关联交易发生前，公司累计12个月内已发生但未达到审议和披露标准的关联交易如下：</w:t>
      </w:r>
    </w:p>
    <w:tbl>
      <w:tblPr>
        <w:tblStyle w:val="12"/>
        <w:tblW w:w="83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8"/>
        <w:gridCol w:w="2298"/>
        <w:gridCol w:w="1134"/>
        <w:gridCol w:w="1417"/>
        <w:gridCol w:w="1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223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31"/>
                <w:b/>
                <w:sz w:val="24"/>
                <w:szCs w:val="24"/>
              </w:rPr>
            </w:pPr>
            <w:r>
              <w:rPr>
                <w:rStyle w:val="31"/>
                <w:b/>
                <w:sz w:val="24"/>
                <w:szCs w:val="24"/>
              </w:rPr>
              <w:t>所属单位</w:t>
            </w:r>
          </w:p>
        </w:tc>
        <w:tc>
          <w:tcPr>
            <w:tcW w:w="229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31"/>
                <w:b/>
                <w:sz w:val="24"/>
                <w:szCs w:val="24"/>
              </w:rPr>
            </w:pPr>
            <w:r>
              <w:rPr>
                <w:rStyle w:val="31"/>
                <w:b/>
                <w:sz w:val="24"/>
                <w:szCs w:val="24"/>
              </w:rPr>
              <w:t>关联方</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31"/>
                <w:b/>
                <w:sz w:val="24"/>
                <w:szCs w:val="24"/>
              </w:rPr>
            </w:pPr>
            <w:r>
              <w:rPr>
                <w:rStyle w:val="31"/>
                <w:b/>
                <w:sz w:val="24"/>
                <w:szCs w:val="24"/>
              </w:rPr>
              <w:t>标的金额（万元）</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31"/>
                <w:b/>
                <w:sz w:val="24"/>
                <w:szCs w:val="24"/>
              </w:rPr>
            </w:pPr>
            <w:r>
              <w:rPr>
                <w:rStyle w:val="31"/>
                <w:b/>
                <w:sz w:val="24"/>
                <w:szCs w:val="24"/>
              </w:rPr>
              <w:t>内容</w:t>
            </w:r>
          </w:p>
        </w:tc>
        <w:tc>
          <w:tcPr>
            <w:tcW w:w="130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baseline"/>
              <w:rPr>
                <w:rStyle w:val="31"/>
                <w:b/>
                <w:sz w:val="24"/>
                <w:szCs w:val="24"/>
              </w:rPr>
            </w:pPr>
            <w:r>
              <w:rPr>
                <w:rStyle w:val="31"/>
                <w:b/>
                <w:sz w:val="24"/>
                <w:szCs w:val="24"/>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31"/>
                <w:bCs/>
                <w:sz w:val="22"/>
                <w:szCs w:val="22"/>
              </w:rPr>
            </w:pPr>
            <w:r>
              <w:rPr>
                <w:rStyle w:val="31"/>
                <w:bCs/>
                <w:sz w:val="22"/>
                <w:szCs w:val="22"/>
              </w:rPr>
              <w:t>国能长源荆州热电有限公司</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31"/>
                <w:bCs/>
                <w:sz w:val="22"/>
                <w:szCs w:val="22"/>
              </w:rPr>
            </w:pPr>
            <w:r>
              <w:rPr>
                <w:rStyle w:val="31"/>
                <w:bCs/>
                <w:sz w:val="22"/>
                <w:szCs w:val="22"/>
              </w:rPr>
              <w:t xml:space="preserve">国能信控互联技术有限公司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31"/>
                <w:bCs/>
                <w:sz w:val="22"/>
                <w:szCs w:val="22"/>
              </w:rPr>
            </w:pPr>
            <w:r>
              <w:rPr>
                <w:rStyle w:val="31"/>
                <w:bCs/>
                <w:sz w:val="22"/>
                <w:szCs w:val="22"/>
              </w:rPr>
              <w:t>199.55</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31"/>
                <w:rFonts w:cs="宋体"/>
                <w:bCs/>
                <w:kern w:val="0"/>
                <w:sz w:val="22"/>
                <w:szCs w:val="22"/>
              </w:rPr>
            </w:pPr>
            <w:r>
              <w:rPr>
                <w:rStyle w:val="31"/>
                <w:rFonts w:cs="宋体"/>
                <w:bCs/>
                <w:kern w:val="0"/>
                <w:sz w:val="22"/>
                <w:szCs w:val="22"/>
              </w:rPr>
              <w:t>接受劳务</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31"/>
                <w:rFonts w:cs="宋体"/>
                <w:bCs/>
                <w:kern w:val="0"/>
                <w:sz w:val="22"/>
                <w:szCs w:val="22"/>
              </w:rPr>
            </w:pPr>
            <w:r>
              <w:rPr>
                <w:rStyle w:val="31"/>
                <w:rFonts w:cs="宋体"/>
                <w:bCs/>
                <w:kern w:val="0"/>
                <w:sz w:val="22"/>
                <w:szCs w:val="22"/>
              </w:rPr>
              <w:t>202</w:t>
            </w:r>
            <w:r>
              <w:rPr>
                <w:rStyle w:val="31"/>
                <w:rFonts w:hint="eastAsia" w:cs="宋体"/>
                <w:bCs/>
                <w:kern w:val="0"/>
                <w:sz w:val="22"/>
                <w:szCs w:val="22"/>
              </w:rPr>
              <w:t>3</w:t>
            </w:r>
            <w:r>
              <w:rPr>
                <w:rStyle w:val="31"/>
                <w:rFonts w:cs="宋体"/>
                <w:bCs/>
                <w:kern w:val="0"/>
                <w:sz w:val="22"/>
                <w:szCs w:val="22"/>
              </w:rPr>
              <w:t>年</w:t>
            </w:r>
            <w:r>
              <w:rPr>
                <w:rStyle w:val="31"/>
                <w:rFonts w:hint="eastAsia" w:cs="宋体"/>
                <w:bCs/>
                <w:kern w:val="0"/>
                <w:sz w:val="22"/>
                <w:szCs w:val="22"/>
              </w:rPr>
              <w:t>3</w:t>
            </w:r>
            <w:r>
              <w:rPr>
                <w:rStyle w:val="31"/>
                <w:rFonts w:cs="宋体"/>
                <w:bCs/>
                <w:kern w:val="0"/>
                <w:sz w:val="22"/>
                <w:szCs w:val="22"/>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31"/>
                <w:bCs/>
                <w:sz w:val="22"/>
                <w:szCs w:val="22"/>
              </w:rPr>
            </w:pPr>
            <w:r>
              <w:rPr>
                <w:rStyle w:val="31"/>
                <w:bCs/>
                <w:sz w:val="22"/>
                <w:szCs w:val="22"/>
              </w:rPr>
              <w:t xml:space="preserve">国能长源汉川发电有限公司 </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31"/>
                <w:bCs/>
                <w:sz w:val="22"/>
                <w:szCs w:val="22"/>
              </w:rPr>
            </w:pPr>
            <w:r>
              <w:rPr>
                <w:rStyle w:val="31"/>
                <w:bCs/>
                <w:sz w:val="22"/>
                <w:szCs w:val="22"/>
              </w:rPr>
              <w:t xml:space="preserve">国能智深控制技术有限公司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31"/>
                <w:bCs/>
                <w:sz w:val="22"/>
                <w:szCs w:val="22"/>
              </w:rPr>
            </w:pPr>
            <w:r>
              <w:rPr>
                <w:rStyle w:val="31"/>
                <w:bCs/>
                <w:sz w:val="22"/>
                <w:szCs w:val="22"/>
              </w:rPr>
              <w:t>1</w:t>
            </w:r>
            <w:r>
              <w:rPr>
                <w:rStyle w:val="31"/>
                <w:rFonts w:hint="eastAsia"/>
                <w:bCs/>
                <w:sz w:val="22"/>
                <w:szCs w:val="22"/>
              </w:rPr>
              <w:t>,</w:t>
            </w:r>
            <w:r>
              <w:rPr>
                <w:rStyle w:val="31"/>
                <w:bCs/>
                <w:sz w:val="22"/>
                <w:szCs w:val="22"/>
              </w:rPr>
              <w:t>946</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31"/>
                <w:rFonts w:cs="宋体"/>
                <w:bCs/>
                <w:kern w:val="0"/>
                <w:sz w:val="22"/>
                <w:szCs w:val="22"/>
              </w:rPr>
            </w:pPr>
            <w:r>
              <w:rPr>
                <w:rStyle w:val="31"/>
                <w:rFonts w:cs="宋体"/>
                <w:bCs/>
                <w:kern w:val="0"/>
                <w:sz w:val="22"/>
                <w:szCs w:val="22"/>
              </w:rPr>
              <w:t>接受劳务</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31"/>
                <w:rFonts w:cs="宋体"/>
                <w:bCs/>
                <w:kern w:val="0"/>
                <w:sz w:val="22"/>
                <w:szCs w:val="22"/>
              </w:rPr>
            </w:pPr>
            <w:r>
              <w:rPr>
                <w:rStyle w:val="31"/>
                <w:rFonts w:cs="宋体"/>
                <w:bCs/>
                <w:kern w:val="0"/>
                <w:sz w:val="22"/>
                <w:szCs w:val="22"/>
              </w:rPr>
              <w:t>202</w:t>
            </w:r>
            <w:r>
              <w:rPr>
                <w:rStyle w:val="31"/>
                <w:rFonts w:hint="eastAsia" w:cs="宋体"/>
                <w:bCs/>
                <w:kern w:val="0"/>
                <w:sz w:val="22"/>
                <w:szCs w:val="22"/>
              </w:rPr>
              <w:t>3</w:t>
            </w:r>
            <w:r>
              <w:rPr>
                <w:rStyle w:val="31"/>
                <w:rFonts w:cs="宋体"/>
                <w:bCs/>
                <w:kern w:val="0"/>
                <w:sz w:val="22"/>
                <w:szCs w:val="22"/>
              </w:rPr>
              <w:t>年</w:t>
            </w:r>
            <w:r>
              <w:rPr>
                <w:rStyle w:val="31"/>
                <w:rFonts w:hint="eastAsia" w:cs="宋体"/>
                <w:bCs/>
                <w:kern w:val="0"/>
                <w:sz w:val="22"/>
                <w:szCs w:val="22"/>
              </w:rPr>
              <w:t>3</w:t>
            </w:r>
            <w:r>
              <w:rPr>
                <w:rStyle w:val="31"/>
                <w:rFonts w:cs="宋体"/>
                <w:bCs/>
                <w:kern w:val="0"/>
                <w:sz w:val="22"/>
                <w:szCs w:val="22"/>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22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31"/>
                <w:bCs/>
                <w:sz w:val="22"/>
                <w:szCs w:val="22"/>
              </w:rPr>
            </w:pPr>
            <w:r>
              <w:rPr>
                <w:rStyle w:val="31"/>
                <w:bCs/>
                <w:sz w:val="22"/>
                <w:szCs w:val="22"/>
              </w:rPr>
              <w:t xml:space="preserve">国电长源第一发电有限责任公司 </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31"/>
                <w:bCs/>
                <w:sz w:val="22"/>
                <w:szCs w:val="22"/>
              </w:rPr>
            </w:pPr>
            <w:r>
              <w:rPr>
                <w:rStyle w:val="31"/>
                <w:bCs/>
                <w:sz w:val="22"/>
                <w:szCs w:val="22"/>
              </w:rPr>
              <w:t>国能锅炉压力容器检验有限公司</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31"/>
                <w:bCs/>
                <w:sz w:val="22"/>
                <w:szCs w:val="22"/>
              </w:rPr>
            </w:pPr>
            <w:r>
              <w:rPr>
                <w:rStyle w:val="31"/>
                <w:bCs/>
                <w:sz w:val="22"/>
                <w:szCs w:val="22"/>
              </w:rPr>
              <w:t>41.2</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31"/>
                <w:rFonts w:cs="宋体"/>
                <w:bCs/>
                <w:kern w:val="0"/>
                <w:sz w:val="22"/>
                <w:szCs w:val="22"/>
              </w:rPr>
            </w:pPr>
            <w:r>
              <w:rPr>
                <w:rStyle w:val="31"/>
                <w:rFonts w:cs="宋体"/>
                <w:bCs/>
                <w:kern w:val="0"/>
                <w:sz w:val="22"/>
                <w:szCs w:val="22"/>
              </w:rPr>
              <w:t>接受劳务</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31"/>
                <w:rFonts w:cs="宋体"/>
                <w:bCs/>
                <w:kern w:val="0"/>
                <w:sz w:val="22"/>
                <w:szCs w:val="22"/>
              </w:rPr>
            </w:pPr>
            <w:r>
              <w:rPr>
                <w:rStyle w:val="31"/>
                <w:rFonts w:cs="宋体"/>
                <w:bCs/>
                <w:kern w:val="0"/>
                <w:sz w:val="22"/>
                <w:szCs w:val="22"/>
              </w:rPr>
              <w:t>202</w:t>
            </w:r>
            <w:r>
              <w:rPr>
                <w:rStyle w:val="31"/>
                <w:rFonts w:hint="eastAsia" w:cs="宋体"/>
                <w:bCs/>
                <w:kern w:val="0"/>
                <w:sz w:val="22"/>
                <w:szCs w:val="22"/>
              </w:rPr>
              <w:t>3</w:t>
            </w:r>
            <w:r>
              <w:rPr>
                <w:rStyle w:val="31"/>
                <w:rFonts w:cs="宋体"/>
                <w:bCs/>
                <w:kern w:val="0"/>
                <w:sz w:val="22"/>
                <w:szCs w:val="22"/>
              </w:rPr>
              <w:t>年</w:t>
            </w:r>
            <w:r>
              <w:rPr>
                <w:rStyle w:val="31"/>
                <w:rFonts w:hint="eastAsia" w:cs="宋体"/>
                <w:bCs/>
                <w:kern w:val="0"/>
                <w:sz w:val="22"/>
                <w:szCs w:val="22"/>
              </w:rPr>
              <w:t>3</w:t>
            </w:r>
            <w:r>
              <w:rPr>
                <w:rStyle w:val="31"/>
                <w:rFonts w:cs="宋体"/>
                <w:bCs/>
                <w:kern w:val="0"/>
                <w:sz w:val="22"/>
                <w:szCs w:val="22"/>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22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31"/>
                <w:bCs/>
                <w:sz w:val="22"/>
                <w:szCs w:val="22"/>
              </w:rPr>
            </w:pPr>
            <w:r>
              <w:rPr>
                <w:rStyle w:val="31"/>
                <w:rFonts w:hint="eastAsia"/>
                <w:bCs/>
                <w:sz w:val="22"/>
                <w:szCs w:val="22"/>
              </w:rPr>
              <w:t>国能长源湖北新能源有限公司</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31"/>
                <w:bCs/>
                <w:sz w:val="22"/>
                <w:szCs w:val="22"/>
              </w:rPr>
            </w:pPr>
            <w:r>
              <w:rPr>
                <w:rStyle w:val="31"/>
                <w:rFonts w:hint="eastAsia"/>
                <w:bCs/>
                <w:sz w:val="22"/>
                <w:szCs w:val="22"/>
              </w:rPr>
              <w:t xml:space="preserve">国家能源集团国际工程咨询有限公司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31"/>
                <w:bCs/>
                <w:sz w:val="22"/>
                <w:szCs w:val="22"/>
              </w:rPr>
            </w:pPr>
            <w:r>
              <w:rPr>
                <w:rStyle w:val="31"/>
                <w:rFonts w:hint="eastAsia"/>
                <w:bCs/>
                <w:sz w:val="22"/>
                <w:szCs w:val="22"/>
              </w:rPr>
              <w:t>45.3</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cs="宋体"/>
                <w:bCs/>
                <w:kern w:val="0"/>
                <w:sz w:val="22"/>
                <w:szCs w:val="22"/>
              </w:rPr>
            </w:pPr>
            <w:r>
              <w:rPr>
                <w:rStyle w:val="31"/>
                <w:rFonts w:cs="宋体"/>
                <w:bCs/>
                <w:kern w:val="0"/>
                <w:sz w:val="22"/>
                <w:szCs w:val="22"/>
              </w:rPr>
              <w:t>接受劳务</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Fonts w:cs="宋体"/>
                <w:bCs/>
                <w:kern w:val="0"/>
                <w:sz w:val="22"/>
                <w:szCs w:val="22"/>
              </w:rPr>
            </w:pPr>
            <w:r>
              <w:rPr>
                <w:rStyle w:val="31"/>
                <w:rFonts w:cs="宋体"/>
                <w:bCs/>
                <w:kern w:val="0"/>
                <w:sz w:val="22"/>
                <w:szCs w:val="22"/>
              </w:rPr>
              <w:t>202</w:t>
            </w:r>
            <w:r>
              <w:rPr>
                <w:rStyle w:val="31"/>
                <w:rFonts w:hint="eastAsia" w:cs="宋体"/>
                <w:bCs/>
                <w:kern w:val="0"/>
                <w:sz w:val="22"/>
                <w:szCs w:val="22"/>
              </w:rPr>
              <w:t>3</w:t>
            </w:r>
            <w:r>
              <w:rPr>
                <w:rStyle w:val="31"/>
                <w:rFonts w:cs="宋体"/>
                <w:bCs/>
                <w:kern w:val="0"/>
                <w:sz w:val="22"/>
                <w:szCs w:val="22"/>
              </w:rPr>
              <w:t>年</w:t>
            </w:r>
            <w:r>
              <w:rPr>
                <w:rStyle w:val="31"/>
                <w:rFonts w:hint="eastAsia" w:cs="宋体"/>
                <w:bCs/>
                <w:kern w:val="0"/>
                <w:sz w:val="22"/>
                <w:szCs w:val="22"/>
              </w:rPr>
              <w:t>3</w:t>
            </w:r>
            <w:r>
              <w:rPr>
                <w:rStyle w:val="31"/>
                <w:rFonts w:cs="宋体"/>
                <w:bCs/>
                <w:kern w:val="0"/>
                <w:sz w:val="22"/>
                <w:szCs w:val="22"/>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22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31"/>
                <w:bCs/>
                <w:sz w:val="22"/>
                <w:szCs w:val="22"/>
              </w:rPr>
            </w:pPr>
            <w:r>
              <w:rPr>
                <w:rStyle w:val="31"/>
                <w:bCs/>
                <w:sz w:val="22"/>
                <w:szCs w:val="22"/>
              </w:rPr>
              <w:t>国能长源武汉青山热电有限公司</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31"/>
                <w:bCs/>
                <w:sz w:val="22"/>
                <w:szCs w:val="22"/>
              </w:rPr>
            </w:pPr>
            <w:r>
              <w:rPr>
                <w:rStyle w:val="31"/>
                <w:bCs/>
                <w:sz w:val="22"/>
                <w:szCs w:val="22"/>
              </w:rPr>
              <w:t xml:space="preserve">国能智深控制技术有限公司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31"/>
                <w:bCs/>
                <w:sz w:val="22"/>
                <w:szCs w:val="22"/>
              </w:rPr>
            </w:pPr>
            <w:r>
              <w:rPr>
                <w:rStyle w:val="31"/>
                <w:bCs/>
                <w:sz w:val="22"/>
                <w:szCs w:val="22"/>
              </w:rPr>
              <w:t>1</w:t>
            </w:r>
            <w:r>
              <w:rPr>
                <w:rStyle w:val="31"/>
                <w:rFonts w:hint="eastAsia"/>
                <w:bCs/>
                <w:sz w:val="22"/>
                <w:szCs w:val="22"/>
              </w:rPr>
              <w:t>,</w:t>
            </w:r>
            <w:r>
              <w:rPr>
                <w:rStyle w:val="31"/>
                <w:bCs/>
                <w:sz w:val="22"/>
                <w:szCs w:val="22"/>
              </w:rPr>
              <w:t>140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31"/>
                <w:rFonts w:cs="宋体"/>
                <w:bCs/>
                <w:kern w:val="0"/>
                <w:sz w:val="22"/>
                <w:szCs w:val="22"/>
              </w:rPr>
            </w:pPr>
            <w:r>
              <w:rPr>
                <w:rStyle w:val="31"/>
                <w:rFonts w:cs="宋体"/>
                <w:bCs/>
                <w:kern w:val="0"/>
                <w:sz w:val="22"/>
                <w:szCs w:val="22"/>
              </w:rPr>
              <w:t>接受劳务</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31"/>
                <w:rFonts w:cs="宋体"/>
                <w:bCs/>
                <w:kern w:val="0"/>
                <w:sz w:val="22"/>
                <w:szCs w:val="22"/>
              </w:rPr>
            </w:pPr>
            <w:r>
              <w:rPr>
                <w:rStyle w:val="31"/>
                <w:rFonts w:cs="宋体"/>
                <w:bCs/>
                <w:kern w:val="0"/>
                <w:sz w:val="22"/>
                <w:szCs w:val="22"/>
              </w:rPr>
              <w:t>202</w:t>
            </w:r>
            <w:r>
              <w:rPr>
                <w:rStyle w:val="31"/>
                <w:rFonts w:hint="eastAsia" w:cs="宋体"/>
                <w:bCs/>
                <w:kern w:val="0"/>
                <w:sz w:val="22"/>
                <w:szCs w:val="22"/>
              </w:rPr>
              <w:t>3</w:t>
            </w:r>
            <w:r>
              <w:rPr>
                <w:rStyle w:val="31"/>
                <w:rFonts w:cs="宋体"/>
                <w:bCs/>
                <w:kern w:val="0"/>
                <w:sz w:val="22"/>
                <w:szCs w:val="22"/>
              </w:rPr>
              <w:t>年</w:t>
            </w:r>
            <w:r>
              <w:rPr>
                <w:rStyle w:val="31"/>
                <w:rFonts w:hint="eastAsia" w:cs="宋体"/>
                <w:bCs/>
                <w:kern w:val="0"/>
                <w:sz w:val="22"/>
                <w:szCs w:val="22"/>
              </w:rPr>
              <w:t>4</w:t>
            </w:r>
            <w:r>
              <w:rPr>
                <w:rStyle w:val="31"/>
                <w:rFonts w:cs="宋体"/>
                <w:bCs/>
                <w:kern w:val="0"/>
                <w:sz w:val="22"/>
                <w:szCs w:val="22"/>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22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31"/>
                <w:bCs/>
                <w:sz w:val="22"/>
                <w:szCs w:val="22"/>
              </w:rPr>
            </w:pPr>
            <w:r>
              <w:rPr>
                <w:rStyle w:val="31"/>
                <w:bCs/>
                <w:sz w:val="22"/>
                <w:szCs w:val="22"/>
              </w:rPr>
              <w:t>国电长源汉川第一发电有限公司</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31"/>
                <w:bCs/>
                <w:sz w:val="22"/>
                <w:szCs w:val="22"/>
              </w:rPr>
            </w:pPr>
            <w:r>
              <w:rPr>
                <w:rStyle w:val="31"/>
                <w:bCs/>
                <w:sz w:val="22"/>
                <w:szCs w:val="22"/>
              </w:rPr>
              <w:t xml:space="preserve">烟台龙源电力技术股份有限公司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31"/>
                <w:bCs/>
                <w:sz w:val="22"/>
                <w:szCs w:val="22"/>
              </w:rPr>
            </w:pPr>
            <w:r>
              <w:rPr>
                <w:rStyle w:val="31"/>
                <w:bCs/>
                <w:sz w:val="22"/>
                <w:szCs w:val="22"/>
              </w:rPr>
              <w:t>576</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cs="宋体"/>
                <w:bCs/>
                <w:kern w:val="0"/>
                <w:sz w:val="22"/>
                <w:szCs w:val="22"/>
              </w:rPr>
            </w:pPr>
            <w:r>
              <w:rPr>
                <w:rStyle w:val="31"/>
                <w:rFonts w:cs="宋体"/>
                <w:bCs/>
                <w:kern w:val="0"/>
                <w:sz w:val="22"/>
                <w:szCs w:val="22"/>
              </w:rPr>
              <w:t>接受劳务</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Fonts w:cs="宋体"/>
                <w:bCs/>
                <w:kern w:val="0"/>
                <w:sz w:val="22"/>
                <w:szCs w:val="22"/>
              </w:rPr>
            </w:pPr>
            <w:r>
              <w:rPr>
                <w:rStyle w:val="31"/>
                <w:rFonts w:cs="宋体"/>
                <w:bCs/>
                <w:kern w:val="0"/>
                <w:sz w:val="22"/>
                <w:szCs w:val="22"/>
              </w:rPr>
              <w:t>202</w:t>
            </w:r>
            <w:r>
              <w:rPr>
                <w:rStyle w:val="31"/>
                <w:rFonts w:hint="eastAsia" w:cs="宋体"/>
                <w:bCs/>
                <w:kern w:val="0"/>
                <w:sz w:val="22"/>
                <w:szCs w:val="22"/>
              </w:rPr>
              <w:t>3</w:t>
            </w:r>
            <w:r>
              <w:rPr>
                <w:rStyle w:val="31"/>
                <w:rFonts w:cs="宋体"/>
                <w:bCs/>
                <w:kern w:val="0"/>
                <w:sz w:val="22"/>
                <w:szCs w:val="22"/>
              </w:rPr>
              <w:t>年</w:t>
            </w:r>
            <w:r>
              <w:rPr>
                <w:rStyle w:val="31"/>
                <w:rFonts w:hint="eastAsia" w:cs="宋体"/>
                <w:bCs/>
                <w:kern w:val="0"/>
                <w:sz w:val="22"/>
                <w:szCs w:val="22"/>
              </w:rPr>
              <w:t>4</w:t>
            </w:r>
            <w:r>
              <w:rPr>
                <w:rStyle w:val="31"/>
                <w:rFonts w:cs="宋体"/>
                <w:bCs/>
                <w:kern w:val="0"/>
                <w:sz w:val="22"/>
                <w:szCs w:val="22"/>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22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31"/>
                <w:bCs/>
                <w:sz w:val="22"/>
                <w:szCs w:val="22"/>
              </w:rPr>
            </w:pPr>
            <w:r>
              <w:rPr>
                <w:rStyle w:val="31"/>
                <w:bCs/>
                <w:sz w:val="22"/>
                <w:szCs w:val="22"/>
              </w:rPr>
              <w:t>国电长源汉川第一发电有限公司</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31"/>
                <w:bCs/>
                <w:sz w:val="22"/>
                <w:szCs w:val="22"/>
              </w:rPr>
            </w:pPr>
            <w:r>
              <w:rPr>
                <w:rStyle w:val="31"/>
                <w:bCs/>
                <w:sz w:val="22"/>
                <w:szCs w:val="22"/>
              </w:rPr>
              <w:t>国能锅炉压力容器检验有限公司</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31"/>
                <w:bCs/>
                <w:sz w:val="22"/>
                <w:szCs w:val="22"/>
              </w:rPr>
            </w:pPr>
            <w:r>
              <w:rPr>
                <w:rStyle w:val="31"/>
                <w:bCs/>
                <w:sz w:val="22"/>
                <w:szCs w:val="22"/>
              </w:rPr>
              <w:t>84.8</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cs="宋体"/>
                <w:bCs/>
                <w:kern w:val="0"/>
                <w:sz w:val="22"/>
                <w:szCs w:val="22"/>
              </w:rPr>
            </w:pPr>
            <w:r>
              <w:rPr>
                <w:rStyle w:val="31"/>
                <w:rFonts w:cs="宋体"/>
                <w:bCs/>
                <w:kern w:val="0"/>
                <w:sz w:val="22"/>
                <w:szCs w:val="22"/>
              </w:rPr>
              <w:t>接受劳务</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Fonts w:cs="宋体"/>
                <w:bCs/>
                <w:kern w:val="0"/>
                <w:sz w:val="22"/>
                <w:szCs w:val="22"/>
              </w:rPr>
            </w:pPr>
            <w:r>
              <w:rPr>
                <w:rStyle w:val="31"/>
                <w:rFonts w:cs="宋体"/>
                <w:bCs/>
                <w:kern w:val="0"/>
                <w:sz w:val="22"/>
                <w:szCs w:val="22"/>
              </w:rPr>
              <w:t>202</w:t>
            </w:r>
            <w:r>
              <w:rPr>
                <w:rStyle w:val="31"/>
                <w:rFonts w:hint="eastAsia" w:cs="宋体"/>
                <w:bCs/>
                <w:kern w:val="0"/>
                <w:sz w:val="22"/>
                <w:szCs w:val="22"/>
              </w:rPr>
              <w:t>3</w:t>
            </w:r>
            <w:r>
              <w:rPr>
                <w:rStyle w:val="31"/>
                <w:rFonts w:cs="宋体"/>
                <w:bCs/>
                <w:kern w:val="0"/>
                <w:sz w:val="22"/>
                <w:szCs w:val="22"/>
              </w:rPr>
              <w:t>年</w:t>
            </w:r>
            <w:r>
              <w:rPr>
                <w:rStyle w:val="31"/>
                <w:rFonts w:hint="eastAsia" w:cs="宋体"/>
                <w:bCs/>
                <w:kern w:val="0"/>
                <w:sz w:val="22"/>
                <w:szCs w:val="22"/>
              </w:rPr>
              <w:t>4</w:t>
            </w:r>
            <w:r>
              <w:rPr>
                <w:rStyle w:val="31"/>
                <w:rFonts w:cs="宋体"/>
                <w:bCs/>
                <w:kern w:val="0"/>
                <w:sz w:val="22"/>
                <w:szCs w:val="22"/>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31"/>
                <w:bCs/>
                <w:sz w:val="22"/>
                <w:szCs w:val="22"/>
              </w:rPr>
            </w:pPr>
            <w:r>
              <w:rPr>
                <w:rStyle w:val="31"/>
                <w:bCs/>
                <w:sz w:val="22"/>
                <w:szCs w:val="22"/>
              </w:rPr>
              <w:t>国能长源荆州热电有限公司</w:t>
            </w:r>
          </w:p>
        </w:tc>
        <w:tc>
          <w:tcPr>
            <w:tcW w:w="22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31"/>
                <w:bCs/>
                <w:sz w:val="22"/>
                <w:szCs w:val="22"/>
              </w:rPr>
            </w:pPr>
            <w:r>
              <w:rPr>
                <w:rStyle w:val="31"/>
                <w:bCs/>
                <w:sz w:val="22"/>
                <w:szCs w:val="22"/>
              </w:rPr>
              <w:t>国能南京电力试验研究有限公司</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31"/>
                <w:bCs/>
                <w:sz w:val="22"/>
                <w:szCs w:val="22"/>
              </w:rPr>
            </w:pPr>
            <w:r>
              <w:rPr>
                <w:rStyle w:val="31"/>
                <w:bCs/>
                <w:sz w:val="22"/>
                <w:szCs w:val="22"/>
              </w:rPr>
              <w:t>280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31"/>
                <w:rFonts w:cs="宋体"/>
                <w:bCs/>
                <w:kern w:val="0"/>
                <w:sz w:val="22"/>
                <w:szCs w:val="22"/>
              </w:rPr>
            </w:pPr>
            <w:r>
              <w:rPr>
                <w:rStyle w:val="31"/>
                <w:rFonts w:cs="宋体"/>
                <w:bCs/>
                <w:kern w:val="0"/>
                <w:sz w:val="22"/>
                <w:szCs w:val="22"/>
              </w:rPr>
              <w:t>接受劳务</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31"/>
                <w:rFonts w:cs="宋体"/>
                <w:bCs/>
                <w:kern w:val="0"/>
                <w:sz w:val="22"/>
                <w:szCs w:val="22"/>
              </w:rPr>
            </w:pPr>
            <w:r>
              <w:rPr>
                <w:rStyle w:val="31"/>
                <w:rFonts w:cs="宋体"/>
                <w:bCs/>
                <w:kern w:val="0"/>
                <w:sz w:val="22"/>
                <w:szCs w:val="22"/>
              </w:rPr>
              <w:t>202</w:t>
            </w:r>
            <w:r>
              <w:rPr>
                <w:rStyle w:val="31"/>
                <w:rFonts w:hint="eastAsia" w:cs="宋体"/>
                <w:bCs/>
                <w:kern w:val="0"/>
                <w:sz w:val="22"/>
                <w:szCs w:val="22"/>
              </w:rPr>
              <w:t>3</w:t>
            </w:r>
            <w:r>
              <w:rPr>
                <w:rStyle w:val="31"/>
                <w:rFonts w:cs="宋体"/>
                <w:bCs/>
                <w:kern w:val="0"/>
                <w:sz w:val="22"/>
                <w:szCs w:val="22"/>
              </w:rPr>
              <w:t>年</w:t>
            </w:r>
            <w:r>
              <w:rPr>
                <w:rStyle w:val="31"/>
                <w:rFonts w:hint="eastAsia" w:cs="宋体"/>
                <w:bCs/>
                <w:kern w:val="0"/>
                <w:sz w:val="22"/>
                <w:szCs w:val="22"/>
              </w:rPr>
              <w:t>4</w:t>
            </w:r>
            <w:r>
              <w:rPr>
                <w:rStyle w:val="31"/>
                <w:rFonts w:cs="宋体"/>
                <w:bCs/>
                <w:kern w:val="0"/>
                <w:sz w:val="22"/>
                <w:szCs w:val="22"/>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2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31"/>
                <w:rFonts w:cs="宋体"/>
                <w:bCs/>
                <w:kern w:val="0"/>
                <w:sz w:val="22"/>
                <w:szCs w:val="22"/>
              </w:rPr>
            </w:pPr>
            <w:r>
              <w:rPr>
                <w:rStyle w:val="31"/>
                <w:rFonts w:cs="宋体"/>
                <w:bCs/>
                <w:kern w:val="0"/>
                <w:sz w:val="22"/>
                <w:szCs w:val="22"/>
              </w:rPr>
              <w:t>合计</w:t>
            </w:r>
          </w:p>
        </w:tc>
        <w:tc>
          <w:tcPr>
            <w:tcW w:w="229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31"/>
                <w:rFonts w:cs="宋体"/>
                <w:bCs/>
                <w:kern w:val="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31"/>
                <w:rFonts w:cs="宋体"/>
                <w:bCs/>
                <w:kern w:val="0"/>
                <w:sz w:val="22"/>
                <w:szCs w:val="22"/>
              </w:rPr>
            </w:pPr>
            <w:r>
              <w:rPr>
                <w:rStyle w:val="31"/>
                <w:rFonts w:hint="eastAsia" w:cs="宋体"/>
                <w:bCs/>
                <w:kern w:val="0"/>
                <w:sz w:val="22"/>
                <w:szCs w:val="22"/>
              </w:rPr>
              <w:t>4</w:t>
            </w:r>
            <w:r>
              <w:rPr>
                <w:rStyle w:val="31"/>
                <w:rFonts w:cs="宋体"/>
                <w:bCs/>
                <w:kern w:val="0"/>
                <w:sz w:val="22"/>
                <w:szCs w:val="22"/>
              </w:rPr>
              <w:t>,</w:t>
            </w:r>
            <w:r>
              <w:rPr>
                <w:rStyle w:val="31"/>
                <w:rFonts w:hint="eastAsia" w:cs="宋体"/>
                <w:bCs/>
                <w:kern w:val="0"/>
                <w:sz w:val="22"/>
                <w:szCs w:val="22"/>
              </w:rPr>
              <w:t>312</w:t>
            </w:r>
            <w:r>
              <w:rPr>
                <w:rStyle w:val="31"/>
                <w:rFonts w:cs="宋体"/>
                <w:bCs/>
                <w:kern w:val="0"/>
                <w:sz w:val="22"/>
                <w:szCs w:val="22"/>
              </w:rPr>
              <w:t>.</w:t>
            </w:r>
            <w:r>
              <w:rPr>
                <w:rStyle w:val="31"/>
                <w:rFonts w:hint="eastAsia" w:cs="宋体"/>
                <w:bCs/>
                <w:kern w:val="0"/>
                <w:sz w:val="22"/>
                <w:szCs w:val="22"/>
              </w:rPr>
              <w:t>85</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31"/>
                <w:rFonts w:cs="宋体"/>
                <w:bCs/>
                <w:kern w:val="0"/>
                <w:sz w:val="22"/>
                <w:szCs w:val="22"/>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Style w:val="31"/>
                <w:rFonts w:cs="宋体"/>
                <w:bCs/>
                <w:kern w:val="0"/>
                <w:sz w:val="22"/>
                <w:szCs w:val="22"/>
              </w:rPr>
            </w:pPr>
          </w:p>
        </w:tc>
      </w:tr>
    </w:tbl>
    <w:p>
      <w:pPr>
        <w:pStyle w:val="6"/>
        <w:spacing w:line="380" w:lineRule="exact"/>
        <w:rPr>
          <w:rFonts w:ascii="Times New Roman" w:eastAsia="宋体"/>
          <w:color w:val="FF0000"/>
        </w:rPr>
      </w:pPr>
    </w:p>
    <w:p>
      <w:pPr>
        <w:adjustRightInd w:val="0"/>
        <w:snapToGrid w:val="0"/>
        <w:spacing w:line="380" w:lineRule="exact"/>
        <w:ind w:firstLine="482" w:firstLineChars="200"/>
        <w:rPr>
          <w:b/>
          <w:bCs/>
          <w:sz w:val="24"/>
          <w:szCs w:val="24"/>
        </w:rPr>
      </w:pPr>
      <w:r>
        <w:rPr>
          <w:rFonts w:hint="eastAsia"/>
          <w:b/>
          <w:bCs/>
          <w:sz w:val="24"/>
          <w:szCs w:val="24"/>
        </w:rPr>
        <w:t>八</w:t>
      </w:r>
      <w:r>
        <w:rPr>
          <w:b/>
          <w:bCs/>
          <w:sz w:val="24"/>
          <w:szCs w:val="24"/>
        </w:rPr>
        <w:t>、</w:t>
      </w:r>
      <w:r>
        <w:rPr>
          <w:rFonts w:hint="eastAsia"/>
          <w:b/>
          <w:bCs/>
          <w:sz w:val="24"/>
          <w:szCs w:val="24"/>
        </w:rPr>
        <w:t>独立董事意见</w:t>
      </w:r>
    </w:p>
    <w:p>
      <w:pPr>
        <w:adjustRightInd w:val="0"/>
        <w:snapToGrid w:val="0"/>
        <w:spacing w:line="380" w:lineRule="exact"/>
        <w:ind w:firstLine="480" w:firstLineChars="200"/>
        <w:rPr>
          <w:sz w:val="24"/>
          <w:szCs w:val="24"/>
        </w:rPr>
      </w:pPr>
      <w:r>
        <w:rPr>
          <w:rFonts w:hint="eastAsia"/>
          <w:sz w:val="24"/>
          <w:szCs w:val="24"/>
        </w:rPr>
        <w:t>公司独立董事对上述关联交易事项进行了事前审议，并发表了独立意见，认为：</w:t>
      </w:r>
    </w:p>
    <w:p>
      <w:pPr>
        <w:adjustRightInd w:val="0"/>
        <w:snapToGrid w:val="0"/>
        <w:spacing w:line="380" w:lineRule="exact"/>
        <w:ind w:firstLine="480" w:firstLineChars="200"/>
        <w:rPr>
          <w:sz w:val="24"/>
          <w:szCs w:val="24"/>
        </w:rPr>
      </w:pPr>
      <w:r>
        <w:rPr>
          <w:rFonts w:hint="eastAsia"/>
          <w:sz w:val="24"/>
          <w:szCs w:val="24"/>
        </w:rPr>
        <w:t>公司与本次发行对象签署的协议系双方真实意思表示，协议的形式、内容均符合相关法律、法规、规范性文件和《公司章程》的规定，不会损害公司、股东特别是中小股东的合法权益。</w:t>
      </w:r>
    </w:p>
    <w:p>
      <w:pPr>
        <w:adjustRightInd w:val="0"/>
        <w:snapToGrid w:val="0"/>
        <w:spacing w:line="380" w:lineRule="exact"/>
        <w:ind w:firstLine="480" w:firstLineChars="200"/>
        <w:rPr>
          <w:sz w:val="24"/>
          <w:szCs w:val="24"/>
        </w:rPr>
      </w:pPr>
      <w:r>
        <w:rPr>
          <w:rFonts w:hint="eastAsia"/>
          <w:sz w:val="24"/>
          <w:szCs w:val="24"/>
        </w:rPr>
        <w:t>按照《深圳证券交易所股票上市规则》的相关规定，国家能源集团参与公司本次向特定对象发行股票构成关联交易。关联交易双方发生交易的理由合理、充分，关联交易定价原则和方法公允、合理，不会损害公司、股东特别是中小股东的合法权益。</w:t>
      </w:r>
    </w:p>
    <w:p>
      <w:pPr>
        <w:spacing w:line="380" w:lineRule="exact"/>
        <w:rPr>
          <w:b/>
          <w:bCs/>
          <w:sz w:val="24"/>
          <w:szCs w:val="24"/>
        </w:rPr>
      </w:pPr>
      <w:r>
        <w:rPr>
          <w:rFonts w:hint="eastAsia"/>
        </w:rPr>
        <w:t xml:space="preserve">     </w:t>
      </w:r>
      <w:r>
        <w:rPr>
          <w:rFonts w:hint="eastAsia"/>
          <w:b/>
          <w:bCs/>
          <w:sz w:val="24"/>
          <w:szCs w:val="24"/>
        </w:rPr>
        <w:t>九、备查文件</w:t>
      </w:r>
    </w:p>
    <w:p>
      <w:pPr>
        <w:spacing w:line="380" w:lineRule="exact"/>
        <w:ind w:firstLine="480" w:firstLineChars="200"/>
        <w:rPr>
          <w:sz w:val="24"/>
          <w:szCs w:val="24"/>
        </w:rPr>
      </w:pPr>
      <w:r>
        <w:rPr>
          <w:sz w:val="24"/>
          <w:szCs w:val="24"/>
        </w:rPr>
        <w:t>1</w:t>
      </w:r>
      <w:r>
        <w:rPr>
          <w:rFonts w:hint="eastAsia"/>
          <w:sz w:val="24"/>
          <w:szCs w:val="24"/>
        </w:rPr>
        <w:t>. 公司第十届董事会第十四次会议决议；</w:t>
      </w:r>
    </w:p>
    <w:p>
      <w:pPr>
        <w:spacing w:line="380" w:lineRule="exact"/>
        <w:ind w:firstLine="480" w:firstLineChars="200"/>
        <w:rPr>
          <w:sz w:val="24"/>
          <w:szCs w:val="24"/>
        </w:rPr>
      </w:pPr>
      <w:r>
        <w:rPr>
          <w:sz w:val="24"/>
          <w:szCs w:val="24"/>
        </w:rPr>
        <w:t>2</w:t>
      </w:r>
      <w:r>
        <w:rPr>
          <w:rFonts w:hint="eastAsia"/>
          <w:sz w:val="24"/>
          <w:szCs w:val="24"/>
        </w:rPr>
        <w:t>. 公司第十届监事会第九次会议决议；</w:t>
      </w:r>
    </w:p>
    <w:p>
      <w:pPr>
        <w:pStyle w:val="6"/>
        <w:spacing w:line="380" w:lineRule="exact"/>
        <w:rPr>
          <w:rFonts w:ascii="Times New Roman" w:eastAsia="宋体"/>
          <w:szCs w:val="24"/>
        </w:rPr>
      </w:pPr>
      <w:r>
        <w:rPr>
          <w:rFonts w:ascii="Times New Roman" w:eastAsia="宋体"/>
          <w:szCs w:val="24"/>
        </w:rPr>
        <w:t>3</w:t>
      </w:r>
      <w:r>
        <w:rPr>
          <w:rFonts w:hint="eastAsia" w:ascii="Times New Roman" w:eastAsia="宋体"/>
          <w:szCs w:val="24"/>
        </w:rPr>
        <w:t>. 公司第十届董事会第十四次会议独立董事事前认可意见；</w:t>
      </w:r>
    </w:p>
    <w:p>
      <w:pPr>
        <w:pStyle w:val="6"/>
        <w:spacing w:line="380" w:lineRule="exact"/>
        <w:rPr>
          <w:rFonts w:ascii="Times New Roman" w:eastAsia="宋体"/>
          <w:szCs w:val="24"/>
        </w:rPr>
      </w:pPr>
      <w:r>
        <w:rPr>
          <w:rFonts w:ascii="Times New Roman" w:eastAsia="宋体"/>
          <w:szCs w:val="24"/>
        </w:rPr>
        <w:t>4</w:t>
      </w:r>
      <w:r>
        <w:rPr>
          <w:rFonts w:hint="eastAsia" w:ascii="Times New Roman" w:eastAsia="宋体"/>
          <w:szCs w:val="24"/>
        </w:rPr>
        <w:t>. 公司第十届董事会第十四次会议独立董事意见；</w:t>
      </w:r>
    </w:p>
    <w:p>
      <w:pPr>
        <w:pStyle w:val="6"/>
        <w:spacing w:line="380" w:lineRule="exact"/>
        <w:jc w:val="left"/>
        <w:rPr>
          <w:rFonts w:ascii="Times New Roman" w:eastAsia="宋体"/>
          <w:szCs w:val="24"/>
        </w:rPr>
      </w:pPr>
      <w:r>
        <w:rPr>
          <w:rFonts w:ascii="Times New Roman" w:eastAsia="宋体"/>
          <w:szCs w:val="24"/>
        </w:rPr>
        <w:t>5</w:t>
      </w:r>
      <w:r>
        <w:rPr>
          <w:rFonts w:hint="eastAsia" w:ascii="Times New Roman" w:eastAsia="宋体"/>
          <w:szCs w:val="24"/>
        </w:rPr>
        <w:t>. 《国家能源集团长源电力股份有限公司与国家能源投资集团有限责任公司关于向特定对象发行股票之附条件生效的股份认购协议》。</w:t>
      </w:r>
    </w:p>
    <w:p>
      <w:pPr>
        <w:spacing w:line="380" w:lineRule="exact"/>
        <w:ind w:firstLine="480" w:firstLineChars="200"/>
        <w:rPr>
          <w:sz w:val="24"/>
          <w:szCs w:val="24"/>
        </w:rPr>
      </w:pPr>
    </w:p>
    <w:p>
      <w:pPr>
        <w:spacing w:line="380" w:lineRule="exact"/>
        <w:ind w:firstLine="480" w:firstLineChars="200"/>
        <w:rPr>
          <w:sz w:val="24"/>
          <w:szCs w:val="24"/>
        </w:rPr>
      </w:pPr>
      <w:r>
        <w:rPr>
          <w:rFonts w:hint="eastAsia"/>
          <w:sz w:val="24"/>
          <w:szCs w:val="24"/>
        </w:rPr>
        <w:t>特此公告。</w:t>
      </w:r>
    </w:p>
    <w:p>
      <w:pPr>
        <w:spacing w:line="380" w:lineRule="exact"/>
        <w:ind w:firstLine="480" w:firstLineChars="200"/>
        <w:rPr>
          <w:sz w:val="24"/>
          <w:szCs w:val="24"/>
        </w:rPr>
      </w:pPr>
    </w:p>
    <w:sdt>
      <w:sdtPr>
        <w:rPr>
          <w:rFonts w:hint="eastAsia" w:ascii="宋体" w:hAnsi="宋体" w:cs="宋体"/>
          <w:kern w:val="0"/>
          <w:sz w:val="24"/>
          <w:szCs w:val="24"/>
        </w:rPr>
        <w:alias w:val="公司法定中文名称"/>
        <w:tag w:val="_GBC_e192748647514942b76151a5a1aa1e49"/>
        <w:id w:val="1147866070"/>
        <w:placeholder>
          <w:docPart w:val="8C33A07A5C6D4079878AE4E57B4398B6"/>
        </w:placeholder>
      </w:sdtPr>
      <w:sdtEndPr>
        <w:rPr>
          <w:rFonts w:hint="eastAsia" w:ascii="宋体" w:hAnsi="宋体" w:cs="宋体"/>
          <w:kern w:val="0"/>
          <w:sz w:val="24"/>
          <w:szCs w:val="24"/>
        </w:rPr>
      </w:sdtEndPr>
      <w:sdtContent>
        <w:p>
          <w:pPr>
            <w:widowControl/>
            <w:spacing w:line="380" w:lineRule="exact"/>
            <w:ind w:firstLine="480" w:firstLineChars="200"/>
            <w:jc w:val="right"/>
            <w:rPr>
              <w:kern w:val="0"/>
              <w:sz w:val="24"/>
              <w:szCs w:val="24"/>
            </w:rPr>
          </w:pPr>
          <w:r>
            <w:rPr>
              <w:rFonts w:hint="eastAsia"/>
              <w:kern w:val="0"/>
              <w:sz w:val="24"/>
              <w:szCs w:val="24"/>
            </w:rPr>
            <w:t>国家能源集团长源电力股份有限公司</w:t>
          </w:r>
          <w:r>
            <w:rPr>
              <w:rFonts w:hint="eastAsia"/>
              <w:color w:val="000000"/>
              <w:kern w:val="0"/>
              <w:sz w:val="24"/>
              <w:szCs w:val="24"/>
            </w:rPr>
            <w:t>董事会</w:t>
          </w:r>
        </w:p>
      </w:sdtContent>
    </w:sdt>
    <w:p>
      <w:pPr>
        <w:widowControl/>
        <w:spacing w:line="380" w:lineRule="exact"/>
        <w:ind w:right="960" w:firstLine="480" w:firstLineChars="200"/>
        <w:jc w:val="center"/>
        <w:rPr>
          <w:color w:val="000000"/>
          <w:kern w:val="0"/>
          <w:sz w:val="24"/>
          <w:szCs w:val="24"/>
        </w:rPr>
      </w:pPr>
      <w:r>
        <w:rPr>
          <w:color w:val="000000"/>
          <w:kern w:val="0"/>
          <w:sz w:val="24"/>
          <w:szCs w:val="24"/>
        </w:rPr>
        <w:t xml:space="preserve">                                  2023</w:t>
      </w:r>
      <w:r>
        <w:rPr>
          <w:rFonts w:hint="eastAsia"/>
          <w:color w:val="000000"/>
          <w:kern w:val="0"/>
          <w:sz w:val="24"/>
          <w:szCs w:val="24"/>
        </w:rPr>
        <w:t>年</w:t>
      </w:r>
      <w:r>
        <w:rPr>
          <w:color w:val="000000"/>
          <w:kern w:val="0"/>
          <w:sz w:val="24"/>
          <w:szCs w:val="24"/>
        </w:rPr>
        <w:t>5</w:t>
      </w:r>
      <w:r>
        <w:rPr>
          <w:rFonts w:hint="eastAsia"/>
          <w:color w:val="000000"/>
          <w:kern w:val="0"/>
          <w:sz w:val="24"/>
          <w:szCs w:val="24"/>
        </w:rPr>
        <w:t>月</w:t>
      </w:r>
      <w:r>
        <w:rPr>
          <w:color w:val="000000"/>
          <w:kern w:val="0"/>
          <w:sz w:val="24"/>
          <w:szCs w:val="24"/>
        </w:rPr>
        <w:t>30</w:t>
      </w:r>
      <w:r>
        <w:rPr>
          <w:rFonts w:hint="eastAsia"/>
          <w:color w:val="000000"/>
          <w:kern w:val="0"/>
          <w:sz w:val="24"/>
          <w:szCs w:val="24"/>
        </w:rPr>
        <w:t>日</w:t>
      </w:r>
    </w:p>
    <w:p>
      <w:pPr>
        <w:widowControl/>
        <w:spacing w:line="360" w:lineRule="auto"/>
        <w:ind w:firstLine="480" w:firstLineChars="200"/>
        <w:jc w:val="right"/>
        <w:rPr>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Times New Roman Regular">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2659953"/>
    </w:sdtPr>
    <w:sdtEndPr>
      <w:rPr>
        <w:rFonts w:ascii="宋体" w:hAnsi="宋体"/>
        <w:sz w:val="21"/>
        <w:szCs w:val="21"/>
      </w:rPr>
    </w:sdtEndPr>
    <w:sdtContent>
      <w:p>
        <w:pPr>
          <w:pStyle w:val="8"/>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6</w:t>
        </w:r>
        <w:r>
          <w:rPr>
            <w:rFonts w:ascii="宋体" w:hAnsi="宋体"/>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C3347B"/>
    <w:rsid w:val="000004CA"/>
    <w:rsid w:val="00002D83"/>
    <w:rsid w:val="000042ED"/>
    <w:rsid w:val="0001007C"/>
    <w:rsid w:val="000165F2"/>
    <w:rsid w:val="0001720C"/>
    <w:rsid w:val="00021569"/>
    <w:rsid w:val="000303BE"/>
    <w:rsid w:val="00043E14"/>
    <w:rsid w:val="000447FD"/>
    <w:rsid w:val="00050FCD"/>
    <w:rsid w:val="00057425"/>
    <w:rsid w:val="0007271E"/>
    <w:rsid w:val="0008029A"/>
    <w:rsid w:val="00096462"/>
    <w:rsid w:val="000B0D0C"/>
    <w:rsid w:val="000B7B5B"/>
    <w:rsid w:val="000C095E"/>
    <w:rsid w:val="000E0103"/>
    <w:rsid w:val="000E1130"/>
    <w:rsid w:val="000E199B"/>
    <w:rsid w:val="000E290A"/>
    <w:rsid w:val="000E3BFF"/>
    <w:rsid w:val="000E40B2"/>
    <w:rsid w:val="000E4ABA"/>
    <w:rsid w:val="000F507C"/>
    <w:rsid w:val="00121D9F"/>
    <w:rsid w:val="0012222B"/>
    <w:rsid w:val="00127610"/>
    <w:rsid w:val="00133226"/>
    <w:rsid w:val="001339F0"/>
    <w:rsid w:val="001350EC"/>
    <w:rsid w:val="001423BA"/>
    <w:rsid w:val="00170ED7"/>
    <w:rsid w:val="001742C8"/>
    <w:rsid w:val="00184D58"/>
    <w:rsid w:val="001904EB"/>
    <w:rsid w:val="00191240"/>
    <w:rsid w:val="001A1751"/>
    <w:rsid w:val="001A48AF"/>
    <w:rsid w:val="001A6D22"/>
    <w:rsid w:val="001A7E97"/>
    <w:rsid w:val="001B1B81"/>
    <w:rsid w:val="001B3CF0"/>
    <w:rsid w:val="001D12DD"/>
    <w:rsid w:val="001D63BD"/>
    <w:rsid w:val="001F3C54"/>
    <w:rsid w:val="001F5C3D"/>
    <w:rsid w:val="0020195E"/>
    <w:rsid w:val="002031E7"/>
    <w:rsid w:val="00221CDD"/>
    <w:rsid w:val="002443A8"/>
    <w:rsid w:val="00246DC3"/>
    <w:rsid w:val="0026338C"/>
    <w:rsid w:val="0027023C"/>
    <w:rsid w:val="002835F4"/>
    <w:rsid w:val="0028714D"/>
    <w:rsid w:val="00290BCB"/>
    <w:rsid w:val="002A1964"/>
    <w:rsid w:val="002B10F2"/>
    <w:rsid w:val="002B26D5"/>
    <w:rsid w:val="002C14C3"/>
    <w:rsid w:val="002D1FDF"/>
    <w:rsid w:val="002E2797"/>
    <w:rsid w:val="002E2D7F"/>
    <w:rsid w:val="002F0416"/>
    <w:rsid w:val="003128A4"/>
    <w:rsid w:val="0032414C"/>
    <w:rsid w:val="00360B30"/>
    <w:rsid w:val="00360FA0"/>
    <w:rsid w:val="003624E5"/>
    <w:rsid w:val="00364A23"/>
    <w:rsid w:val="00364C18"/>
    <w:rsid w:val="00367F33"/>
    <w:rsid w:val="00375523"/>
    <w:rsid w:val="003872F1"/>
    <w:rsid w:val="00397287"/>
    <w:rsid w:val="003A40B3"/>
    <w:rsid w:val="003D1A9F"/>
    <w:rsid w:val="004000FE"/>
    <w:rsid w:val="00402876"/>
    <w:rsid w:val="00407629"/>
    <w:rsid w:val="004159D1"/>
    <w:rsid w:val="00416499"/>
    <w:rsid w:val="0042194F"/>
    <w:rsid w:val="00422F81"/>
    <w:rsid w:val="00424E9F"/>
    <w:rsid w:val="00435DB6"/>
    <w:rsid w:val="00437C7B"/>
    <w:rsid w:val="0044613D"/>
    <w:rsid w:val="004467BC"/>
    <w:rsid w:val="00454432"/>
    <w:rsid w:val="00455BD1"/>
    <w:rsid w:val="00464D05"/>
    <w:rsid w:val="00476DDD"/>
    <w:rsid w:val="0048536D"/>
    <w:rsid w:val="004F2E13"/>
    <w:rsid w:val="004F493E"/>
    <w:rsid w:val="004F5A08"/>
    <w:rsid w:val="004F64D1"/>
    <w:rsid w:val="00503CA2"/>
    <w:rsid w:val="005458EF"/>
    <w:rsid w:val="005504C4"/>
    <w:rsid w:val="00550806"/>
    <w:rsid w:val="0055733B"/>
    <w:rsid w:val="00563640"/>
    <w:rsid w:val="005716EF"/>
    <w:rsid w:val="00596096"/>
    <w:rsid w:val="005B13DE"/>
    <w:rsid w:val="005C2F71"/>
    <w:rsid w:val="005F29AA"/>
    <w:rsid w:val="005F74F8"/>
    <w:rsid w:val="00606E93"/>
    <w:rsid w:val="00662D51"/>
    <w:rsid w:val="006646B8"/>
    <w:rsid w:val="00677A60"/>
    <w:rsid w:val="00687518"/>
    <w:rsid w:val="00694354"/>
    <w:rsid w:val="006A0867"/>
    <w:rsid w:val="006A0FB0"/>
    <w:rsid w:val="006A19D5"/>
    <w:rsid w:val="006A3037"/>
    <w:rsid w:val="006A3735"/>
    <w:rsid w:val="006A6439"/>
    <w:rsid w:val="006B003E"/>
    <w:rsid w:val="006C68D3"/>
    <w:rsid w:val="006D13AC"/>
    <w:rsid w:val="006E521F"/>
    <w:rsid w:val="006E7772"/>
    <w:rsid w:val="006F1E84"/>
    <w:rsid w:val="006F5832"/>
    <w:rsid w:val="0070263B"/>
    <w:rsid w:val="00727961"/>
    <w:rsid w:val="007307AA"/>
    <w:rsid w:val="00731FAF"/>
    <w:rsid w:val="00733262"/>
    <w:rsid w:val="007370BA"/>
    <w:rsid w:val="007531BB"/>
    <w:rsid w:val="00762EDA"/>
    <w:rsid w:val="00763DB5"/>
    <w:rsid w:val="00765F1F"/>
    <w:rsid w:val="00770123"/>
    <w:rsid w:val="007850A1"/>
    <w:rsid w:val="007863C1"/>
    <w:rsid w:val="007876E3"/>
    <w:rsid w:val="00790B67"/>
    <w:rsid w:val="00795349"/>
    <w:rsid w:val="007A1798"/>
    <w:rsid w:val="007A312C"/>
    <w:rsid w:val="007A5299"/>
    <w:rsid w:val="007C637B"/>
    <w:rsid w:val="007D0878"/>
    <w:rsid w:val="007D4014"/>
    <w:rsid w:val="007E3898"/>
    <w:rsid w:val="007F5BAA"/>
    <w:rsid w:val="007F77AE"/>
    <w:rsid w:val="00810EEC"/>
    <w:rsid w:val="00816C9E"/>
    <w:rsid w:val="00824892"/>
    <w:rsid w:val="008305A3"/>
    <w:rsid w:val="008378E2"/>
    <w:rsid w:val="008404F4"/>
    <w:rsid w:val="00850989"/>
    <w:rsid w:val="00883D31"/>
    <w:rsid w:val="008A2D4B"/>
    <w:rsid w:val="008A38D8"/>
    <w:rsid w:val="008A3AE1"/>
    <w:rsid w:val="008B2986"/>
    <w:rsid w:val="008B518C"/>
    <w:rsid w:val="008B56F3"/>
    <w:rsid w:val="008C1E0C"/>
    <w:rsid w:val="008C1E75"/>
    <w:rsid w:val="008C48C6"/>
    <w:rsid w:val="008C5320"/>
    <w:rsid w:val="008D23C2"/>
    <w:rsid w:val="008D758C"/>
    <w:rsid w:val="008E2E8C"/>
    <w:rsid w:val="00904E24"/>
    <w:rsid w:val="00911927"/>
    <w:rsid w:val="00911976"/>
    <w:rsid w:val="00931319"/>
    <w:rsid w:val="0096151C"/>
    <w:rsid w:val="0096319E"/>
    <w:rsid w:val="00965B67"/>
    <w:rsid w:val="00973AC1"/>
    <w:rsid w:val="00973C80"/>
    <w:rsid w:val="00974C31"/>
    <w:rsid w:val="009869A5"/>
    <w:rsid w:val="00991FB3"/>
    <w:rsid w:val="009920B5"/>
    <w:rsid w:val="0099519A"/>
    <w:rsid w:val="00995425"/>
    <w:rsid w:val="009B0B8A"/>
    <w:rsid w:val="009C2598"/>
    <w:rsid w:val="009C7B3B"/>
    <w:rsid w:val="009D6F15"/>
    <w:rsid w:val="009F51C0"/>
    <w:rsid w:val="009F54F1"/>
    <w:rsid w:val="00A00435"/>
    <w:rsid w:val="00A02961"/>
    <w:rsid w:val="00A12398"/>
    <w:rsid w:val="00A14C4E"/>
    <w:rsid w:val="00A30937"/>
    <w:rsid w:val="00A41476"/>
    <w:rsid w:val="00A434BC"/>
    <w:rsid w:val="00A5441E"/>
    <w:rsid w:val="00A5466B"/>
    <w:rsid w:val="00A5665C"/>
    <w:rsid w:val="00A6711B"/>
    <w:rsid w:val="00A67D2F"/>
    <w:rsid w:val="00A776AA"/>
    <w:rsid w:val="00A86CF1"/>
    <w:rsid w:val="00A872EA"/>
    <w:rsid w:val="00AD475B"/>
    <w:rsid w:val="00AD7994"/>
    <w:rsid w:val="00AF1D48"/>
    <w:rsid w:val="00AF4D2C"/>
    <w:rsid w:val="00AF5D41"/>
    <w:rsid w:val="00B00288"/>
    <w:rsid w:val="00B00676"/>
    <w:rsid w:val="00B13780"/>
    <w:rsid w:val="00B2126F"/>
    <w:rsid w:val="00B2294E"/>
    <w:rsid w:val="00B24C3B"/>
    <w:rsid w:val="00B41833"/>
    <w:rsid w:val="00B55FDA"/>
    <w:rsid w:val="00B567E0"/>
    <w:rsid w:val="00B71D51"/>
    <w:rsid w:val="00B83665"/>
    <w:rsid w:val="00B97DB5"/>
    <w:rsid w:val="00BA528D"/>
    <w:rsid w:val="00BB2089"/>
    <w:rsid w:val="00BC6FE8"/>
    <w:rsid w:val="00BD2275"/>
    <w:rsid w:val="00BD3BFE"/>
    <w:rsid w:val="00BD79EA"/>
    <w:rsid w:val="00BE1896"/>
    <w:rsid w:val="00BF1851"/>
    <w:rsid w:val="00BF6C89"/>
    <w:rsid w:val="00C04CC7"/>
    <w:rsid w:val="00C133C8"/>
    <w:rsid w:val="00C23C04"/>
    <w:rsid w:val="00C3347B"/>
    <w:rsid w:val="00C33BE7"/>
    <w:rsid w:val="00C3595B"/>
    <w:rsid w:val="00C428A1"/>
    <w:rsid w:val="00C4573F"/>
    <w:rsid w:val="00C56EE2"/>
    <w:rsid w:val="00C60D60"/>
    <w:rsid w:val="00C6253A"/>
    <w:rsid w:val="00C70EE9"/>
    <w:rsid w:val="00C721AA"/>
    <w:rsid w:val="00C75EE4"/>
    <w:rsid w:val="00CA0DF5"/>
    <w:rsid w:val="00CA0EB9"/>
    <w:rsid w:val="00CA6BE6"/>
    <w:rsid w:val="00CB1B5B"/>
    <w:rsid w:val="00CB4839"/>
    <w:rsid w:val="00CD33D1"/>
    <w:rsid w:val="00CE30A7"/>
    <w:rsid w:val="00CF008C"/>
    <w:rsid w:val="00CF30BC"/>
    <w:rsid w:val="00D122CD"/>
    <w:rsid w:val="00D174AD"/>
    <w:rsid w:val="00D25789"/>
    <w:rsid w:val="00D31036"/>
    <w:rsid w:val="00D35605"/>
    <w:rsid w:val="00D44EBE"/>
    <w:rsid w:val="00D56862"/>
    <w:rsid w:val="00D60D4C"/>
    <w:rsid w:val="00D65CD6"/>
    <w:rsid w:val="00D72CD3"/>
    <w:rsid w:val="00D768CB"/>
    <w:rsid w:val="00D94A56"/>
    <w:rsid w:val="00DA0E8D"/>
    <w:rsid w:val="00DA4A4C"/>
    <w:rsid w:val="00DA56D0"/>
    <w:rsid w:val="00DA6CCB"/>
    <w:rsid w:val="00DB2040"/>
    <w:rsid w:val="00DC334E"/>
    <w:rsid w:val="00DC41C1"/>
    <w:rsid w:val="00DC7422"/>
    <w:rsid w:val="00DD0BA8"/>
    <w:rsid w:val="00DD0D57"/>
    <w:rsid w:val="00DF4C9F"/>
    <w:rsid w:val="00DF79CD"/>
    <w:rsid w:val="00E04EC3"/>
    <w:rsid w:val="00E07098"/>
    <w:rsid w:val="00E136FA"/>
    <w:rsid w:val="00E13F6B"/>
    <w:rsid w:val="00E204F5"/>
    <w:rsid w:val="00E3048F"/>
    <w:rsid w:val="00E34DEB"/>
    <w:rsid w:val="00E5262A"/>
    <w:rsid w:val="00E5409A"/>
    <w:rsid w:val="00E626CB"/>
    <w:rsid w:val="00E71D09"/>
    <w:rsid w:val="00E777AC"/>
    <w:rsid w:val="00E85252"/>
    <w:rsid w:val="00EA7AC3"/>
    <w:rsid w:val="00EC1900"/>
    <w:rsid w:val="00EC3FF4"/>
    <w:rsid w:val="00EC4369"/>
    <w:rsid w:val="00ED099F"/>
    <w:rsid w:val="00ED723A"/>
    <w:rsid w:val="00EE1EC3"/>
    <w:rsid w:val="00EE6DB5"/>
    <w:rsid w:val="00EF5772"/>
    <w:rsid w:val="00EF5DB1"/>
    <w:rsid w:val="00EF6898"/>
    <w:rsid w:val="00F05404"/>
    <w:rsid w:val="00F1587F"/>
    <w:rsid w:val="00F245E2"/>
    <w:rsid w:val="00F247FB"/>
    <w:rsid w:val="00F360BE"/>
    <w:rsid w:val="00F40F6F"/>
    <w:rsid w:val="00F4576B"/>
    <w:rsid w:val="00F469F6"/>
    <w:rsid w:val="00F5675C"/>
    <w:rsid w:val="00F661A3"/>
    <w:rsid w:val="00F75873"/>
    <w:rsid w:val="00F80EE6"/>
    <w:rsid w:val="00F85885"/>
    <w:rsid w:val="00F96AD9"/>
    <w:rsid w:val="00F96EEE"/>
    <w:rsid w:val="00FB44F7"/>
    <w:rsid w:val="00FB66B0"/>
    <w:rsid w:val="00FC5A25"/>
    <w:rsid w:val="00FD4EBF"/>
    <w:rsid w:val="00FD55D9"/>
    <w:rsid w:val="00FD650A"/>
    <w:rsid w:val="00FF48D9"/>
    <w:rsid w:val="00FF61F4"/>
    <w:rsid w:val="02195607"/>
    <w:rsid w:val="08B15169"/>
    <w:rsid w:val="12B43454"/>
    <w:rsid w:val="14080611"/>
    <w:rsid w:val="149710B7"/>
    <w:rsid w:val="1AE91E0F"/>
    <w:rsid w:val="1C676ADD"/>
    <w:rsid w:val="1DE21689"/>
    <w:rsid w:val="21F32821"/>
    <w:rsid w:val="2B1F73EF"/>
    <w:rsid w:val="305735B0"/>
    <w:rsid w:val="34017B51"/>
    <w:rsid w:val="3B6F4B8F"/>
    <w:rsid w:val="3D760951"/>
    <w:rsid w:val="412D47BC"/>
    <w:rsid w:val="42B375B2"/>
    <w:rsid w:val="445F1CC4"/>
    <w:rsid w:val="4A325ACB"/>
    <w:rsid w:val="4DBA3D3C"/>
    <w:rsid w:val="55666D54"/>
    <w:rsid w:val="5E42178B"/>
    <w:rsid w:val="5FDBA971"/>
    <w:rsid w:val="60EB0C75"/>
    <w:rsid w:val="6AE33C50"/>
    <w:rsid w:val="6D042B59"/>
    <w:rsid w:val="6D1B1985"/>
    <w:rsid w:val="6EE94672"/>
    <w:rsid w:val="6EFC352B"/>
    <w:rsid w:val="6FFD36CA"/>
    <w:rsid w:val="704C48BA"/>
    <w:rsid w:val="72033808"/>
    <w:rsid w:val="74DD519E"/>
    <w:rsid w:val="76821382"/>
    <w:rsid w:val="7A1B3253"/>
    <w:rsid w:val="7C4E273B"/>
    <w:rsid w:val="C7EB8F48"/>
    <w:rsid w:val="CE7D9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spacing w:line="576" w:lineRule="exact"/>
      <w:outlineLvl w:val="1"/>
    </w:pPr>
    <w:rPr>
      <w:rFonts w:ascii="Arial" w:hAnsi="Arial" w:eastAsia="黑体"/>
      <w:szCs w:val="24"/>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index 8"/>
    <w:basedOn w:val="1"/>
    <w:next w:val="1"/>
    <w:unhideWhenUsed/>
    <w:qFormat/>
    <w:uiPriority w:val="99"/>
    <w:pPr>
      <w:ind w:left="2940"/>
      <w:jc w:val="center"/>
    </w:pPr>
  </w:style>
  <w:style w:type="paragraph" w:styleId="4">
    <w:name w:val="Normal Indent"/>
    <w:basedOn w:val="1"/>
    <w:semiHidden/>
    <w:unhideWhenUsed/>
    <w:qFormat/>
    <w:uiPriority w:val="99"/>
    <w:pPr>
      <w:ind w:firstLine="420" w:firstLineChars="200"/>
    </w:pPr>
  </w:style>
  <w:style w:type="paragraph" w:styleId="5">
    <w:name w:val="annotation text"/>
    <w:basedOn w:val="1"/>
    <w:link w:val="20"/>
    <w:unhideWhenUsed/>
    <w:qFormat/>
    <w:uiPriority w:val="0"/>
    <w:pPr>
      <w:jc w:val="left"/>
    </w:pPr>
  </w:style>
  <w:style w:type="paragraph" w:styleId="6">
    <w:name w:val="Body Text Indent"/>
    <w:basedOn w:val="1"/>
    <w:qFormat/>
    <w:uiPriority w:val="0"/>
    <w:pPr>
      <w:spacing w:line="360" w:lineRule="auto"/>
      <w:ind w:firstLine="480" w:firstLineChars="200"/>
    </w:pPr>
    <w:rPr>
      <w:rFonts w:ascii="楷体_GB2312" w:eastAsia="楷体_GB2312"/>
      <w:sz w:val="24"/>
    </w:rPr>
  </w:style>
  <w:style w:type="paragraph" w:styleId="7">
    <w:name w:val="Balloon Text"/>
    <w:basedOn w:val="1"/>
    <w:link w:val="26"/>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5"/>
    <w:next w:val="5"/>
    <w:link w:val="21"/>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qFormat/>
    <w:uiPriority w:val="99"/>
    <w:rPr>
      <w:color w:val="864654"/>
      <w:u w:val="single"/>
    </w:rPr>
  </w:style>
  <w:style w:type="character" w:styleId="16">
    <w:name w:val="annotation reference"/>
    <w:basedOn w:val="14"/>
    <w:unhideWhenUsed/>
    <w:qFormat/>
    <w:uiPriority w:val="0"/>
    <w:rPr>
      <w:sz w:val="21"/>
      <w:szCs w:val="21"/>
    </w:rPr>
  </w:style>
  <w:style w:type="character" w:customStyle="1" w:styleId="17">
    <w:name w:val="页眉 字符"/>
    <w:basedOn w:val="14"/>
    <w:link w:val="9"/>
    <w:qFormat/>
    <w:uiPriority w:val="99"/>
    <w:rPr>
      <w:sz w:val="18"/>
      <w:szCs w:val="18"/>
      <w14:ligatures w14:val="none"/>
    </w:rPr>
  </w:style>
  <w:style w:type="character" w:customStyle="1" w:styleId="18">
    <w:name w:val="页脚 字符"/>
    <w:basedOn w:val="14"/>
    <w:link w:val="8"/>
    <w:qFormat/>
    <w:uiPriority w:val="99"/>
    <w:rPr>
      <w:sz w:val="18"/>
      <w:szCs w:val="18"/>
      <w14:ligatures w14:val="none"/>
    </w:rPr>
  </w:style>
  <w:style w:type="paragraph" w:styleId="19">
    <w:name w:val="List Paragraph"/>
    <w:basedOn w:val="1"/>
    <w:qFormat/>
    <w:uiPriority w:val="34"/>
    <w:pPr>
      <w:ind w:firstLine="420" w:firstLineChars="200"/>
    </w:pPr>
  </w:style>
  <w:style w:type="character" w:customStyle="1" w:styleId="20">
    <w:name w:val="批注文字 字符"/>
    <w:basedOn w:val="14"/>
    <w:link w:val="5"/>
    <w:qFormat/>
    <w:uiPriority w:val="0"/>
    <w:rPr>
      <w:rFonts w:ascii="Times New Roman" w:hAnsi="Times New Roman" w:eastAsia="宋体" w:cs="Times New Roman"/>
      <w:szCs w:val="20"/>
      <w14:ligatures w14:val="none"/>
    </w:rPr>
  </w:style>
  <w:style w:type="character" w:customStyle="1" w:styleId="21">
    <w:name w:val="批注主题 字符"/>
    <w:basedOn w:val="20"/>
    <w:link w:val="11"/>
    <w:semiHidden/>
    <w:qFormat/>
    <w:uiPriority w:val="99"/>
    <w:rPr>
      <w:rFonts w:ascii="Times New Roman" w:hAnsi="Times New Roman" w:eastAsia="宋体" w:cs="Times New Roman"/>
      <w:b/>
      <w:bCs/>
      <w:szCs w:val="20"/>
      <w14:ligatures w14:val="none"/>
    </w:rPr>
  </w:style>
  <w:style w:type="paragraph" w:customStyle="1" w:styleId="22">
    <w:name w:val="修订1"/>
    <w:hidden/>
    <w:semiHidden/>
    <w:qFormat/>
    <w:uiPriority w:val="99"/>
    <w:rPr>
      <w:rFonts w:ascii="Times New Roman" w:hAnsi="Times New Roman" w:eastAsia="宋体" w:cs="Times New Roman"/>
      <w:kern w:val="2"/>
      <w:sz w:val="21"/>
      <w:lang w:val="en-US" w:eastAsia="zh-CN" w:bidi="ar-SA"/>
    </w:rPr>
  </w:style>
  <w:style w:type="character" w:styleId="23">
    <w:name w:val="Placeholder Text"/>
    <w:basedOn w:val="14"/>
    <w:semiHidden/>
    <w:qFormat/>
    <w:uiPriority w:val="99"/>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修订2"/>
    <w:hidden/>
    <w:semiHidden/>
    <w:qFormat/>
    <w:uiPriority w:val="99"/>
    <w:rPr>
      <w:rFonts w:ascii="Times New Roman" w:hAnsi="Times New Roman" w:eastAsia="宋体" w:cs="Times New Roman"/>
      <w:kern w:val="2"/>
      <w:sz w:val="21"/>
      <w:lang w:val="en-US" w:eastAsia="zh-CN" w:bidi="ar-SA"/>
    </w:rPr>
  </w:style>
  <w:style w:type="character" w:customStyle="1" w:styleId="26">
    <w:name w:val="批注框文本 字符"/>
    <w:basedOn w:val="14"/>
    <w:link w:val="7"/>
    <w:semiHidden/>
    <w:qFormat/>
    <w:uiPriority w:val="99"/>
    <w:rPr>
      <w:rFonts w:ascii="Times New Roman" w:hAnsi="Times New Roman" w:eastAsia="宋体" w:cs="Times New Roman"/>
      <w:kern w:val="2"/>
      <w:sz w:val="18"/>
      <w:szCs w:val="18"/>
    </w:rPr>
  </w:style>
  <w:style w:type="paragraph" w:customStyle="1" w:styleId="27">
    <w:name w:val="修订3"/>
    <w:hidden/>
    <w:semiHidden/>
    <w:qFormat/>
    <w:uiPriority w:val="99"/>
    <w:rPr>
      <w:rFonts w:ascii="Times New Roman" w:hAnsi="Times New Roman" w:eastAsia="宋体" w:cs="Times New Roman"/>
      <w:kern w:val="2"/>
      <w:sz w:val="21"/>
      <w:lang w:val="en-US" w:eastAsia="zh-CN" w:bidi="ar-SA"/>
    </w:rPr>
  </w:style>
  <w:style w:type="paragraph" w:customStyle="1" w:styleId="28">
    <w:name w:val="修订4"/>
    <w:hidden/>
    <w:semiHidden/>
    <w:qFormat/>
    <w:uiPriority w:val="99"/>
    <w:rPr>
      <w:rFonts w:ascii="Times New Roman" w:hAnsi="Times New Roman" w:eastAsia="宋体" w:cs="Times New Roman"/>
      <w:kern w:val="2"/>
      <w:sz w:val="21"/>
      <w:lang w:val="en-US" w:eastAsia="zh-CN" w:bidi="ar-SA"/>
    </w:rPr>
  </w:style>
  <w:style w:type="paragraph" w:customStyle="1" w:styleId="29">
    <w:name w:val="修订5"/>
    <w:hidden/>
    <w:semiHidden/>
    <w:qFormat/>
    <w:uiPriority w:val="99"/>
    <w:rPr>
      <w:rFonts w:ascii="Times New Roman" w:hAnsi="Times New Roman" w:eastAsia="宋体" w:cs="Times New Roman"/>
      <w:kern w:val="2"/>
      <w:sz w:val="21"/>
      <w:lang w:val="en-US" w:eastAsia="zh-CN" w:bidi="ar-SA"/>
    </w:rPr>
  </w:style>
  <w:style w:type="paragraph" w:customStyle="1" w:styleId="30">
    <w:name w:val="修订6"/>
    <w:hidden/>
    <w:semiHidden/>
    <w:qFormat/>
    <w:uiPriority w:val="99"/>
    <w:rPr>
      <w:rFonts w:ascii="Times New Roman" w:hAnsi="Times New Roman" w:eastAsia="宋体" w:cs="Times New Roman"/>
      <w:kern w:val="2"/>
      <w:sz w:val="21"/>
      <w:lang w:val="en-US" w:eastAsia="zh-CN" w:bidi="ar-SA"/>
    </w:rPr>
  </w:style>
  <w:style w:type="character" w:customStyle="1" w:styleId="31">
    <w:name w:val="NormalCharacter"/>
    <w:qFormat/>
    <w:uiPriority w:val="0"/>
  </w:style>
  <w:style w:type="paragraph" w:customStyle="1" w:styleId="32">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3A46ED52422492EACF0B23AB05A9311"/>
        <w:style w:val=""/>
        <w:category>
          <w:name w:val="常规"/>
          <w:gallery w:val="placeholder"/>
        </w:category>
        <w:types>
          <w:type w:val="bbPlcHdr"/>
        </w:types>
        <w:behaviors>
          <w:behavior w:val="content"/>
        </w:behaviors>
        <w:description w:val=""/>
        <w:guid w:val="{41360BDC-0032-4D2A-B36D-8778934E3320}"/>
      </w:docPartPr>
      <w:docPartBody>
        <w:p>
          <w:pPr>
            <w:pStyle w:val="5"/>
          </w:pPr>
          <w:r>
            <w:rPr>
              <w:rStyle w:val="4"/>
              <w:rFonts w:hint="eastAsia"/>
              <w:color w:val="333399"/>
              <w:u w:val="single"/>
            </w:rPr>
            <w:t>　　　</w:t>
          </w:r>
        </w:p>
      </w:docPartBody>
    </w:docPart>
    <w:docPart>
      <w:docPartPr>
        <w:name w:val="8C33A07A5C6D4079878AE4E57B4398B6"/>
        <w:style w:val=""/>
        <w:category>
          <w:name w:val="常规"/>
          <w:gallery w:val="placeholder"/>
        </w:category>
        <w:types>
          <w:type w:val="bbPlcHdr"/>
        </w:types>
        <w:behaviors>
          <w:behavior w:val="content"/>
        </w:behaviors>
        <w:description w:val=""/>
        <w:guid w:val="{E49A6A60-F606-455B-BE47-3B974DD64FC5}"/>
      </w:docPartPr>
      <w:docPartBody>
        <w:p>
          <w:pPr>
            <w:pStyle w:val="6"/>
          </w:pPr>
          <w:r>
            <w:rPr>
              <w:rStyle w:val="4"/>
              <w:rFonts w:hint="eastAsia"/>
              <w:color w:val="333399"/>
              <w:u w:val="single"/>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A7C"/>
    <w:rsid w:val="000148EA"/>
    <w:rsid w:val="0002721E"/>
    <w:rsid w:val="000319DC"/>
    <w:rsid w:val="00033A7C"/>
    <w:rsid w:val="00150189"/>
    <w:rsid w:val="00161EB9"/>
    <w:rsid w:val="0016794B"/>
    <w:rsid w:val="001E0640"/>
    <w:rsid w:val="002539F1"/>
    <w:rsid w:val="00324A86"/>
    <w:rsid w:val="003F2835"/>
    <w:rsid w:val="00437613"/>
    <w:rsid w:val="0046570C"/>
    <w:rsid w:val="00465E29"/>
    <w:rsid w:val="004E1C1A"/>
    <w:rsid w:val="005462DB"/>
    <w:rsid w:val="00592979"/>
    <w:rsid w:val="0059578E"/>
    <w:rsid w:val="00650B2F"/>
    <w:rsid w:val="006909A3"/>
    <w:rsid w:val="00696493"/>
    <w:rsid w:val="0070213F"/>
    <w:rsid w:val="00762BB0"/>
    <w:rsid w:val="00790EBB"/>
    <w:rsid w:val="00793472"/>
    <w:rsid w:val="00796902"/>
    <w:rsid w:val="007A4C8E"/>
    <w:rsid w:val="007D40E4"/>
    <w:rsid w:val="008036EF"/>
    <w:rsid w:val="008240BB"/>
    <w:rsid w:val="008740A9"/>
    <w:rsid w:val="008B3227"/>
    <w:rsid w:val="008D1061"/>
    <w:rsid w:val="008D7E8A"/>
    <w:rsid w:val="008E3567"/>
    <w:rsid w:val="00901B3C"/>
    <w:rsid w:val="00914146"/>
    <w:rsid w:val="009155BD"/>
    <w:rsid w:val="00987879"/>
    <w:rsid w:val="009F0B27"/>
    <w:rsid w:val="00AB48AC"/>
    <w:rsid w:val="00B54FA9"/>
    <w:rsid w:val="00B86078"/>
    <w:rsid w:val="00BA03E6"/>
    <w:rsid w:val="00BC1F36"/>
    <w:rsid w:val="00BD100E"/>
    <w:rsid w:val="00BE62B1"/>
    <w:rsid w:val="00C02BA1"/>
    <w:rsid w:val="00C55C9B"/>
    <w:rsid w:val="00D13A44"/>
    <w:rsid w:val="00DC67A7"/>
    <w:rsid w:val="00DF73E9"/>
    <w:rsid w:val="00EA027E"/>
    <w:rsid w:val="00EA796F"/>
    <w:rsid w:val="00ED52B4"/>
    <w:rsid w:val="00EE7E1E"/>
    <w:rsid w:val="00F51D8D"/>
    <w:rsid w:val="00F61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style>
  <w:style w:type="paragraph" w:customStyle="1" w:styleId="5">
    <w:name w:val="F3A46ED52422492EACF0B23AB05A93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C33A07A5C6D4079878AE4E57B4398B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9B7D38-974B-4BCD-ABB3-25C5EE378792}">
  <ds:schemaRefs/>
</ds:datastoreItem>
</file>

<file path=docProps/app.xml><?xml version="1.0" encoding="utf-8"?>
<Properties xmlns="http://schemas.openxmlformats.org/officeDocument/2006/extended-properties" xmlns:vt="http://schemas.openxmlformats.org/officeDocument/2006/docPropsVTypes">
  <Template>Normal</Template>
  <Pages>8</Pages>
  <Words>1021</Words>
  <Characters>5820</Characters>
  <Lines>48</Lines>
  <Paragraphs>13</Paragraphs>
  <TotalTime>11</TotalTime>
  <ScaleCrop>false</ScaleCrop>
  <LinksUpToDate>false</LinksUpToDate>
  <CharactersWithSpaces>6828</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2023-04-18T00:36:00Z</dcterms:created>
  <dc:creator>zhang clara</dc:creator>
  <cp:lastModifiedBy>刘硕02</cp:lastModifiedBy>
  <dcterms:modified xsi:type="dcterms:W3CDTF">2023-05-29T11:23:32Z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ACC42AE489C3406BB1B21080B7B953A2_12</vt:lpwstr>
  </property>
</Properties>
</file>