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snapToGrid w:val="0"/>
        <w:spacing w:line="420" w:lineRule="exact"/>
        <w:jc w:val="both"/>
        <w:rPr>
          <w:rFonts w:hint="default" w:ascii="Times New Roman" w:hAnsi="Times New Roman" w:eastAsia="宋体"/>
          <w:sz w:val="24"/>
          <w:szCs w:val="21"/>
          <w:lang w:val="en-US" w:eastAsia="zh-CN"/>
        </w:rPr>
      </w:pPr>
      <w:r>
        <w:rPr>
          <w:rFonts w:ascii="Times New Roman"/>
          <w:sz w:val="24"/>
          <w:szCs w:val="21"/>
        </w:rPr>
        <w:t>证券代码：</w:t>
      </w:r>
      <w:r>
        <w:rPr>
          <w:rFonts w:ascii="Times New Roman" w:hAnsi="Times New Roman"/>
          <w:sz w:val="24"/>
          <w:szCs w:val="21"/>
        </w:rPr>
        <w:t>000966</w:t>
      </w:r>
      <w:r>
        <w:rPr>
          <w:rFonts w:ascii="Times New Roman" w:hAnsi="Times New Roman"/>
          <w:sz w:val="24"/>
          <w:szCs w:val="21"/>
        </w:rPr>
        <w:tab/>
      </w:r>
      <w:r>
        <w:rPr>
          <w:rFonts w:ascii="Times New Roman" w:hAnsi="Times New Roman"/>
          <w:sz w:val="24"/>
          <w:szCs w:val="21"/>
        </w:rPr>
        <w:t xml:space="preserve">    </w:t>
      </w:r>
      <w:r>
        <w:rPr>
          <w:rFonts w:hint="eastAsia"/>
          <w:sz w:val="24"/>
          <w:szCs w:val="21"/>
          <w:lang w:val="en-US" w:eastAsia="zh-CN"/>
        </w:rPr>
        <w:t xml:space="preserve"> </w:t>
      </w:r>
      <w:r>
        <w:rPr>
          <w:rFonts w:ascii="Times New Roman" w:hAnsi="Times New Roman"/>
          <w:sz w:val="24"/>
          <w:szCs w:val="21"/>
        </w:rPr>
        <w:t xml:space="preserve">   </w:t>
      </w:r>
      <w:r>
        <w:rPr>
          <w:rFonts w:hint="eastAsia"/>
          <w:sz w:val="24"/>
          <w:szCs w:val="21"/>
          <w:lang w:val="en-US" w:eastAsia="zh-CN"/>
        </w:rPr>
        <w:t xml:space="preserve"> </w:t>
      </w:r>
      <w:r>
        <w:rPr>
          <w:rFonts w:ascii="Times New Roman"/>
          <w:sz w:val="24"/>
          <w:szCs w:val="21"/>
        </w:rPr>
        <w:t>证券简称：长源电力</w:t>
      </w:r>
      <w:r>
        <w:rPr>
          <w:rFonts w:ascii="Times New Roman" w:hAnsi="Times New Roman"/>
          <w:sz w:val="24"/>
          <w:szCs w:val="21"/>
        </w:rPr>
        <w:t xml:space="preserve"> </w:t>
      </w:r>
      <w:r>
        <w:rPr>
          <w:rFonts w:hint="eastAsia"/>
          <w:sz w:val="24"/>
          <w:szCs w:val="21"/>
          <w:lang w:val="en-US" w:eastAsia="zh-CN"/>
        </w:rPr>
        <w:t xml:space="preserve"> </w:t>
      </w:r>
      <w:r>
        <w:rPr>
          <w:rFonts w:ascii="Times New Roman" w:hAnsi="Times New Roman"/>
          <w:sz w:val="24"/>
          <w:szCs w:val="21"/>
        </w:rPr>
        <w:t xml:space="preserve">   </w:t>
      </w:r>
      <w:r>
        <w:rPr>
          <w:rFonts w:hint="eastAsia"/>
          <w:sz w:val="24"/>
          <w:szCs w:val="21"/>
          <w:lang w:val="en-US" w:eastAsia="zh-CN"/>
        </w:rPr>
        <w:t xml:space="preserve"> </w:t>
      </w:r>
      <w:r>
        <w:rPr>
          <w:rFonts w:ascii="Times New Roman" w:hAnsi="Times New Roman"/>
          <w:sz w:val="24"/>
          <w:szCs w:val="21"/>
        </w:rPr>
        <w:t xml:space="preserve">   </w:t>
      </w:r>
      <w:r>
        <w:rPr>
          <w:rFonts w:ascii="Times New Roman"/>
          <w:sz w:val="24"/>
          <w:szCs w:val="21"/>
        </w:rPr>
        <w:t>公告编号：</w:t>
      </w:r>
      <w:r>
        <w:rPr>
          <w:rFonts w:hint="eastAsia" w:ascii="Times New Roman"/>
          <w:sz w:val="24"/>
          <w:szCs w:val="21"/>
          <w:lang w:val="en-US" w:eastAsia="zh-CN"/>
        </w:rPr>
        <w:t>2019-02</w:t>
      </w:r>
      <w:r>
        <w:rPr>
          <w:rFonts w:hint="eastAsia"/>
          <w:sz w:val="24"/>
          <w:szCs w:val="21"/>
          <w:lang w:val="en-US" w:eastAsia="zh-CN"/>
        </w:rPr>
        <w:t>8</w:t>
      </w:r>
    </w:p>
    <w:p>
      <w:pPr>
        <w:adjustRightInd w:val="0"/>
        <w:snapToGrid w:val="0"/>
        <w:jc w:val="both"/>
        <w:rPr>
          <w:rFonts w:hint="eastAsia" w:ascii="宋体" w:hAnsi="宋体"/>
          <w:b/>
          <w:sz w:val="32"/>
          <w:szCs w:val="28"/>
        </w:rPr>
      </w:pPr>
    </w:p>
    <w:p>
      <w:pPr>
        <w:adjustRightInd w:val="0"/>
        <w:snapToGrid w:val="0"/>
        <w:jc w:val="center"/>
        <w:rPr>
          <w:rFonts w:ascii="宋体" w:hAnsi="宋体"/>
          <w:b/>
          <w:sz w:val="32"/>
          <w:szCs w:val="28"/>
        </w:rPr>
      </w:pPr>
      <w:r>
        <w:rPr>
          <w:rFonts w:hint="eastAsia" w:ascii="宋体" w:hAnsi="宋体"/>
          <w:b/>
          <w:sz w:val="32"/>
          <w:szCs w:val="28"/>
        </w:rPr>
        <w:t>国电长源电力股份有限公司</w:t>
      </w:r>
    </w:p>
    <w:p>
      <w:pPr>
        <w:adjustRightInd w:val="0"/>
        <w:snapToGrid w:val="0"/>
        <w:jc w:val="center"/>
        <w:rPr>
          <w:rFonts w:ascii="宋体" w:hAnsi="宋体" w:cs="仿宋_GB2312-WinCharSetFFFF-H"/>
          <w:b/>
          <w:kern w:val="0"/>
          <w:sz w:val="32"/>
          <w:szCs w:val="28"/>
        </w:rPr>
      </w:pPr>
      <w:r>
        <w:rPr>
          <w:rFonts w:hint="eastAsia" w:ascii="宋体" w:hAnsi="宋体"/>
          <w:b/>
          <w:sz w:val="32"/>
          <w:szCs w:val="28"/>
        </w:rPr>
        <w:t>关于深圳证券交易所2018年年报问询函的复函</w:t>
      </w:r>
    </w:p>
    <w:p>
      <w:pPr>
        <w:keepNext w:val="0"/>
        <w:keepLines w:val="0"/>
        <w:pageBreakBefore w:val="0"/>
        <w:kinsoku/>
        <w:wordWrap/>
        <w:overflowPunct/>
        <w:topLinePunct w:val="0"/>
        <w:bidi w:val="0"/>
        <w:spacing w:line="240" w:lineRule="auto"/>
        <w:ind w:firstLine="480" w:firstLineChars="200"/>
        <w:textAlignment w:val="auto"/>
        <w:rPr>
          <w:rFonts w:hint="eastAsia" w:ascii="楷体_GB2312" w:eastAsia="楷体_GB2312"/>
          <w:sz w:val="24"/>
        </w:rPr>
      </w:pPr>
    </w:p>
    <w:p>
      <w:pPr>
        <w:keepNext w:val="0"/>
        <w:keepLines w:val="0"/>
        <w:pageBreakBefore w:val="0"/>
        <w:kinsoku/>
        <w:wordWrap/>
        <w:overflowPunct/>
        <w:topLinePunct w:val="0"/>
        <w:bidi w:val="0"/>
        <w:spacing w:line="240" w:lineRule="auto"/>
        <w:ind w:firstLine="480" w:firstLineChars="200"/>
        <w:textAlignment w:val="auto"/>
      </w:pPr>
      <w:r>
        <w:rPr>
          <w:rFonts w:hint="eastAsia" w:ascii="楷体_GB2312" w:eastAsia="楷体_GB2312"/>
          <w:sz w:val="24"/>
        </w:rPr>
        <w:t>本公司及董事会全体成员保证信息披露的内容真实、准确、完整，没有虚假记载、误导性陈述或重大遗漏。</w:t>
      </w:r>
    </w:p>
    <w:p>
      <w:pPr>
        <w:contextualSpacing/>
        <w:rPr>
          <w:rFonts w:ascii="宋体" w:hAnsi="宋体" w:cs="仿宋_GB2312-WinCharSetFFFF-H"/>
          <w:kern w:val="0"/>
          <w:sz w:val="28"/>
          <w:szCs w:val="28"/>
        </w:rPr>
      </w:pPr>
    </w:p>
    <w:p>
      <w:pPr>
        <w:contextualSpacing/>
        <w:rPr>
          <w:rFonts w:ascii="宋体" w:hAnsi="宋体"/>
          <w:sz w:val="28"/>
          <w:szCs w:val="28"/>
        </w:rPr>
      </w:pPr>
      <w:r>
        <w:rPr>
          <w:rFonts w:hint="eastAsia" w:ascii="宋体" w:hAnsi="宋体" w:cs="仿宋_GB2312-WinCharSetFFFF-H"/>
          <w:kern w:val="0"/>
          <w:sz w:val="28"/>
          <w:szCs w:val="28"/>
        </w:rPr>
        <w:t>深圳证券交易所公司管理部：</w:t>
      </w:r>
    </w:p>
    <w:p>
      <w:pPr>
        <w:ind w:firstLine="560" w:firstLineChars="200"/>
        <w:contextualSpacing/>
        <w:rPr>
          <w:rFonts w:ascii="宋体" w:hAnsi="宋体" w:cs="仿宋_GB2312-WinCharSetFFFF-H"/>
          <w:kern w:val="0"/>
          <w:sz w:val="28"/>
          <w:szCs w:val="28"/>
        </w:rPr>
      </w:pPr>
      <w:r>
        <w:rPr>
          <w:rFonts w:hint="eastAsia" w:ascii="宋体" w:hAnsi="宋体" w:cs="仿宋_GB2312-WinCharSetFFFF-H"/>
          <w:kern w:val="0"/>
          <w:sz w:val="28"/>
          <w:szCs w:val="28"/>
        </w:rPr>
        <w:t>我公司于2019年4月15日收悉贵部下发的《关于对国电长源电力股份有限公司的年报问询函》（公司部年报问询函〔</w:t>
      </w:r>
      <w:sdt>
        <w:sdtPr>
          <w:rPr>
            <w:rFonts w:hint="eastAsia" w:ascii="宋体" w:hAnsi="宋体" w:cs="仿宋_GB2312-WinCharSetFFFF-H"/>
            <w:kern w:val="0"/>
            <w:sz w:val="28"/>
            <w:szCs w:val="28"/>
          </w:rPr>
          <w:alias w:val="年份（字号）"/>
          <w:tag w:val="Year"/>
          <w:id w:val="3404626"/>
          <w:placeholder>
            <w:docPart w:val="{bfa16890-62bc-46c7-a80f-cb89de74e428}"/>
          </w:placeholder>
          <w:text/>
        </w:sdtPr>
        <w:sdtEndPr>
          <w:rPr>
            <w:rFonts w:hint="eastAsia" w:ascii="宋体" w:hAnsi="宋体" w:cs="仿宋_GB2312-WinCharSetFFFF-H"/>
            <w:kern w:val="0"/>
            <w:sz w:val="28"/>
            <w:szCs w:val="28"/>
          </w:rPr>
        </w:sdtEndPr>
        <w:sdtContent>
          <w:r>
            <w:rPr>
              <w:rFonts w:hint="eastAsia" w:ascii="宋体" w:hAnsi="宋体" w:cs="仿宋_GB2312-WinCharSetFFFF-H"/>
              <w:kern w:val="0"/>
              <w:sz w:val="28"/>
              <w:szCs w:val="28"/>
            </w:rPr>
            <w:t>2019</w:t>
          </w:r>
        </w:sdtContent>
      </w:sdt>
      <w:r>
        <w:rPr>
          <w:rFonts w:hint="eastAsia" w:ascii="宋体" w:hAnsi="宋体" w:cs="仿宋_GB2312-WinCharSetFFFF-H"/>
          <w:kern w:val="0"/>
          <w:sz w:val="28"/>
          <w:szCs w:val="28"/>
        </w:rPr>
        <w:t>〕第</w:t>
      </w:r>
      <w:sdt>
        <w:sdtPr>
          <w:rPr>
            <w:rFonts w:hint="eastAsia" w:ascii="宋体" w:hAnsi="宋体" w:cs="仿宋_GB2312-WinCharSetFFFF-H"/>
            <w:kern w:val="0"/>
            <w:sz w:val="28"/>
            <w:szCs w:val="28"/>
          </w:rPr>
          <w:alias w:val="正式编号"/>
          <w:tag w:val="FormalCode"/>
          <w:id w:val="3404632"/>
          <w:placeholder>
            <w:docPart w:val="{2f1fa4cc-73f2-499d-8795-23231cbe218a}"/>
          </w:placeholder>
          <w:text/>
        </w:sdtPr>
        <w:sdtEndPr>
          <w:rPr>
            <w:rFonts w:hint="eastAsia" w:ascii="宋体" w:hAnsi="宋体" w:cs="仿宋_GB2312-WinCharSetFFFF-H"/>
            <w:kern w:val="0"/>
            <w:sz w:val="28"/>
            <w:szCs w:val="28"/>
          </w:rPr>
        </w:sdtEndPr>
        <w:sdtContent>
          <w:r>
            <w:rPr>
              <w:rFonts w:hint="eastAsia" w:ascii="宋体" w:hAnsi="宋体" w:cs="仿宋_GB2312-WinCharSetFFFF-H"/>
              <w:kern w:val="0"/>
              <w:sz w:val="28"/>
              <w:szCs w:val="28"/>
            </w:rPr>
            <w:t>20</w:t>
          </w:r>
        </w:sdtContent>
      </w:sdt>
      <w:r>
        <w:rPr>
          <w:rFonts w:hint="eastAsia" w:ascii="宋体" w:hAnsi="宋体" w:cs="仿宋_GB2312-WinCharSetFFFF-H"/>
          <w:kern w:val="0"/>
          <w:sz w:val="28"/>
          <w:szCs w:val="28"/>
        </w:rPr>
        <w:t>号），现就该函中有关问题</w:t>
      </w:r>
      <w:r>
        <w:rPr>
          <w:rFonts w:hint="eastAsia" w:ascii="宋体" w:hAnsi="宋体" w:cs="仿宋_GB2312-WinCharSetFFFF-H"/>
          <w:kern w:val="0"/>
          <w:sz w:val="28"/>
          <w:szCs w:val="28"/>
          <w:lang w:eastAsia="zh-CN"/>
        </w:rPr>
        <w:t>回复</w:t>
      </w:r>
      <w:r>
        <w:rPr>
          <w:rFonts w:hint="eastAsia" w:ascii="宋体" w:hAnsi="宋体" w:cs="仿宋_GB2312-WinCharSetFFFF-H"/>
          <w:kern w:val="0"/>
          <w:sz w:val="28"/>
          <w:szCs w:val="28"/>
        </w:rPr>
        <w:t>如下：</w:t>
      </w:r>
    </w:p>
    <w:p>
      <w:pPr>
        <w:spacing w:line="560" w:lineRule="exact"/>
        <w:ind w:firstLine="562"/>
        <w:rPr>
          <w:rFonts w:eastAsia="方正仿宋简体" w:cs="宋体"/>
          <w:kern w:val="0"/>
          <w:sz w:val="28"/>
          <w:szCs w:val="28"/>
        </w:rPr>
      </w:pPr>
      <w:r>
        <w:rPr>
          <w:rFonts w:hint="eastAsia" w:ascii="宋体" w:hAnsi="宋体" w:cs="仿宋_GB2312-WinCharSetFFFF-H"/>
          <w:b/>
          <w:kern w:val="0"/>
          <w:sz w:val="28"/>
          <w:szCs w:val="28"/>
        </w:rPr>
        <w:t>一、</w:t>
      </w:r>
      <w:r>
        <w:rPr>
          <w:rFonts w:hint="eastAsia" w:eastAsia="方正仿宋简体" w:cs="宋体"/>
          <w:kern w:val="0"/>
          <w:sz w:val="28"/>
          <w:szCs w:val="28"/>
        </w:rPr>
        <w:t>《资金占用专项审计报告》显示，你公司向控股股东及多家附属企业提供劳务发生经营性往来在其他应收款会计科目核算，报告期内，你公司对控股股东附属企业国电湖北电力有限公司（以下简称湖北公司）的其他应收款发生额</w:t>
      </w:r>
      <w:r>
        <w:rPr>
          <w:rFonts w:eastAsia="方正仿宋简体" w:cs="宋体"/>
          <w:kern w:val="0"/>
          <w:sz w:val="28"/>
          <w:szCs w:val="28"/>
        </w:rPr>
        <w:t>1.8</w:t>
      </w:r>
      <w:r>
        <w:rPr>
          <w:rFonts w:hint="eastAsia" w:eastAsia="方正仿宋简体" w:cs="宋体"/>
          <w:kern w:val="0"/>
          <w:sz w:val="28"/>
          <w:szCs w:val="28"/>
        </w:rPr>
        <w:t>亿元，往来形成原因为“借款及利息”，你公司对联营企业河南东升煤业有限公司（以下简称东升煤业）的其他应收款发生额</w:t>
      </w:r>
      <w:r>
        <w:rPr>
          <w:rFonts w:eastAsia="方正仿宋简体" w:cs="宋体"/>
          <w:kern w:val="0"/>
          <w:sz w:val="28"/>
          <w:szCs w:val="28"/>
        </w:rPr>
        <w:t>354.98</w:t>
      </w:r>
      <w:r>
        <w:rPr>
          <w:rFonts w:hint="eastAsia" w:eastAsia="方正仿宋简体" w:cs="宋体"/>
          <w:kern w:val="0"/>
          <w:sz w:val="28"/>
          <w:szCs w:val="28"/>
        </w:rPr>
        <w:t>万元，期末余额</w:t>
      </w:r>
      <w:r>
        <w:rPr>
          <w:rFonts w:eastAsia="方正仿宋简体" w:cs="宋体"/>
          <w:kern w:val="0"/>
          <w:sz w:val="28"/>
          <w:szCs w:val="28"/>
        </w:rPr>
        <w:t>1584.98</w:t>
      </w:r>
      <w:r>
        <w:rPr>
          <w:rFonts w:hint="eastAsia" w:eastAsia="方正仿宋简体" w:cs="宋体"/>
          <w:kern w:val="0"/>
          <w:sz w:val="28"/>
          <w:szCs w:val="28"/>
        </w:rPr>
        <w:t>万元，往来形成原因为“借款及经营”。请你公司说明以下情况：</w:t>
      </w:r>
    </w:p>
    <w:p>
      <w:pPr>
        <w:spacing w:line="560" w:lineRule="exact"/>
        <w:ind w:firstLine="562"/>
        <w:rPr>
          <w:rFonts w:eastAsia="方正仿宋简体" w:cs="宋体"/>
          <w:kern w:val="0"/>
          <w:sz w:val="28"/>
          <w:szCs w:val="28"/>
        </w:rPr>
      </w:pPr>
      <w:r>
        <w:rPr>
          <w:rFonts w:eastAsia="方正仿宋简体" w:cs="宋体"/>
          <w:kern w:val="0"/>
          <w:sz w:val="28"/>
          <w:szCs w:val="28"/>
        </w:rPr>
        <w:t>1</w:t>
      </w:r>
      <w:r>
        <w:rPr>
          <w:rFonts w:hint="eastAsia" w:eastAsia="方正仿宋简体" w:cs="宋体"/>
          <w:kern w:val="0"/>
          <w:sz w:val="28"/>
          <w:szCs w:val="28"/>
        </w:rPr>
        <w:t>、你公司向湖北公司、东升煤业提供借款的发生时间、金额、背景原因及借款协议的具体内容，并结合《主板上市公司规范运作指引》第七章第四节的相关规定，说明你公司向东升煤业提供借款是否构成财务资助，是否履行相应的审议程序和信息披露义务；湖北公司是否形成对你公司的非经营性资金占用，如是，请尽快解决并说明解决相关事项的具体安排。</w:t>
      </w:r>
    </w:p>
    <w:p>
      <w:pPr>
        <w:spacing w:line="560" w:lineRule="exact"/>
        <w:ind w:firstLine="562"/>
        <w:rPr>
          <w:rFonts w:eastAsia="方正仿宋简体" w:cs="宋体"/>
          <w:kern w:val="0"/>
          <w:sz w:val="28"/>
          <w:szCs w:val="28"/>
        </w:rPr>
      </w:pPr>
      <w:r>
        <w:rPr>
          <w:rFonts w:eastAsia="方正仿宋简体" w:cs="宋体"/>
          <w:kern w:val="0"/>
          <w:sz w:val="28"/>
          <w:szCs w:val="28"/>
        </w:rPr>
        <w:t>2</w:t>
      </w:r>
      <w:r>
        <w:rPr>
          <w:rFonts w:hint="eastAsia" w:eastAsia="方正仿宋简体" w:cs="宋体"/>
          <w:kern w:val="0"/>
          <w:sz w:val="28"/>
          <w:szCs w:val="28"/>
        </w:rPr>
        <w:t>、你公司向多个控股股东及附属企业提供劳务发生的经营性往来在其他应收款而非应收账款核算的原因，相关往来款项的性质，会计处理的合规性，相关方是否形成对你公司的非经营性资金占用。</w:t>
      </w:r>
    </w:p>
    <w:p>
      <w:pPr>
        <w:ind w:firstLine="560" w:firstLineChars="200"/>
        <w:contextualSpacing/>
        <w:rPr>
          <w:rFonts w:ascii="宋体" w:hAnsi="宋体" w:cs="仿宋_GB2312-WinCharSetFFFF-H"/>
          <w:b/>
          <w:kern w:val="0"/>
          <w:sz w:val="28"/>
          <w:szCs w:val="28"/>
        </w:rPr>
      </w:pPr>
      <w:r>
        <w:rPr>
          <w:rFonts w:hint="eastAsia" w:eastAsia="方正仿宋简体" w:cs="宋体"/>
          <w:kern w:val="0"/>
          <w:sz w:val="28"/>
          <w:szCs w:val="28"/>
        </w:rPr>
        <w:t>请你公司年审会计师对上述事项核查并发表意见，如相关披露有误，请及时补充更正。</w:t>
      </w:r>
    </w:p>
    <w:p>
      <w:pPr>
        <w:ind w:firstLine="560" w:firstLineChars="200"/>
        <w:contextualSpacing/>
        <w:rPr>
          <w:rFonts w:ascii="宋体" w:hAnsi="宋体" w:cs="宋体"/>
          <w:kern w:val="0"/>
          <w:sz w:val="28"/>
          <w:szCs w:val="28"/>
        </w:rPr>
      </w:pPr>
      <w:r>
        <w:rPr>
          <w:rFonts w:hint="eastAsia" w:ascii="宋体" w:hAnsi="宋体" w:cs="宋体"/>
          <w:kern w:val="0"/>
          <w:sz w:val="28"/>
          <w:szCs w:val="28"/>
        </w:rPr>
        <w:t>答：1、报告期内，公司与湖北公司、东升煤业发生了资金往来，公司年审会计师对上述事项进行了核查并发表了意见（详见附件）。具体情况如下：</w:t>
      </w:r>
    </w:p>
    <w:p>
      <w:pPr>
        <w:ind w:firstLine="560" w:firstLineChars="200"/>
        <w:contextualSpacing/>
        <w:rPr>
          <w:rFonts w:ascii="宋体" w:hAnsi="宋体" w:cs="宋体"/>
          <w:kern w:val="0"/>
          <w:sz w:val="28"/>
          <w:szCs w:val="28"/>
        </w:rPr>
      </w:pPr>
      <w:r>
        <w:rPr>
          <w:rFonts w:hint="eastAsia" w:ascii="宋体" w:hAnsi="宋体" w:cs="宋体"/>
          <w:kern w:val="0"/>
          <w:sz w:val="28"/>
          <w:szCs w:val="28"/>
        </w:rPr>
        <w:t>（1）与湖北公司往来情况</w:t>
      </w:r>
    </w:p>
    <w:p>
      <w:pPr>
        <w:ind w:firstLine="560" w:firstLineChars="200"/>
        <w:contextualSpacing/>
        <w:rPr>
          <w:rFonts w:hint="eastAsia" w:ascii="宋体" w:hAnsi="宋体" w:cs="宋体"/>
          <w:kern w:val="0"/>
          <w:sz w:val="28"/>
          <w:szCs w:val="28"/>
          <w:lang w:val="en-US" w:eastAsia="zh-CN"/>
        </w:rPr>
      </w:pPr>
      <w:r>
        <w:rPr>
          <w:rFonts w:hint="eastAsia" w:ascii="宋体" w:hAnsi="宋体" w:cs="宋体"/>
          <w:kern w:val="0"/>
          <w:sz w:val="28"/>
          <w:szCs w:val="28"/>
        </w:rPr>
        <w:t>经</w:t>
      </w:r>
      <w:r>
        <w:rPr>
          <w:rFonts w:hint="eastAsia" w:ascii="宋体" w:hAnsi="宋体" w:cs="宋体"/>
          <w:kern w:val="0"/>
          <w:sz w:val="28"/>
          <w:szCs w:val="28"/>
          <w:lang w:val="zh-CN"/>
        </w:rPr>
        <w:t>第六届董事会第十三次会议审议通过，公司与控股股东中国</w:t>
      </w:r>
      <w:r>
        <w:rPr>
          <w:rFonts w:hint="eastAsia" w:ascii="宋体" w:hAnsi="宋体" w:cs="宋体"/>
          <w:kern w:val="0"/>
          <w:sz w:val="28"/>
          <w:szCs w:val="28"/>
        </w:rPr>
        <w:t>国电集团有限公司（以下简称国电集团）签订协议，国电集团将其全资子公司湖北公司</w:t>
      </w:r>
      <w:r>
        <w:rPr>
          <w:rFonts w:hint="eastAsia" w:ascii="宋体" w:hAnsi="宋体" w:cs="宋体"/>
          <w:kern w:val="0"/>
          <w:sz w:val="28"/>
          <w:szCs w:val="28"/>
          <w:lang w:val="en-US" w:eastAsia="zh-CN"/>
        </w:rPr>
        <w:t>及所属企业全部</w:t>
      </w:r>
      <w:r>
        <w:rPr>
          <w:rFonts w:hint="eastAsia" w:ascii="宋体" w:hAnsi="宋体" w:cs="宋体"/>
          <w:kern w:val="0"/>
          <w:sz w:val="28"/>
          <w:szCs w:val="28"/>
        </w:rPr>
        <w:t>委托我公司管理</w:t>
      </w:r>
      <w:r>
        <w:rPr>
          <w:rFonts w:hint="eastAsia" w:ascii="宋体" w:hAnsi="宋体"/>
          <w:sz w:val="28"/>
          <w:szCs w:val="28"/>
        </w:rPr>
        <w:t>（具体内容详见公司于201</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月29日在《中国证券报》、《证券时报》和巨潮资讯网上披露的公告，公告编号：201</w:t>
      </w:r>
      <w:r>
        <w:rPr>
          <w:rFonts w:hint="eastAsia" w:ascii="宋体" w:hAnsi="宋体"/>
          <w:sz w:val="28"/>
          <w:szCs w:val="28"/>
          <w:lang w:val="en-US" w:eastAsia="zh-CN"/>
        </w:rPr>
        <w:t>2</w:t>
      </w:r>
      <w:r>
        <w:rPr>
          <w:rFonts w:hint="eastAsia" w:ascii="宋体" w:hAnsi="宋体"/>
          <w:sz w:val="28"/>
          <w:szCs w:val="28"/>
        </w:rPr>
        <w:t>-0</w:t>
      </w:r>
      <w:r>
        <w:rPr>
          <w:rFonts w:hint="eastAsia" w:ascii="宋体" w:hAnsi="宋体"/>
          <w:sz w:val="28"/>
          <w:szCs w:val="28"/>
          <w:lang w:val="en-US" w:eastAsia="zh-CN"/>
        </w:rPr>
        <w:t>14</w:t>
      </w:r>
      <w:r>
        <w:rPr>
          <w:rFonts w:hint="eastAsia" w:ascii="宋体" w:hAnsi="宋体"/>
          <w:sz w:val="28"/>
          <w:szCs w:val="28"/>
        </w:rPr>
        <w:t>）</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公司与湖北公司及所属企业之间的经营性资金往来，一般通过“其他应收款”科目核算</w:t>
      </w:r>
      <w:r>
        <w:rPr>
          <w:rFonts w:hint="eastAsia" w:ascii="宋体" w:hAnsi="宋体" w:cs="宋体"/>
          <w:kern w:val="0"/>
          <w:sz w:val="28"/>
          <w:szCs w:val="28"/>
        </w:rPr>
        <w:t>。由于短期资金周转的需要，公司于2018年2月2日从湖北公司拆借资金1.8亿元，</w:t>
      </w:r>
      <w:r>
        <w:rPr>
          <w:rFonts w:hint="eastAsia" w:ascii="宋体" w:hAnsi="宋体" w:cs="宋体"/>
          <w:kern w:val="0"/>
          <w:sz w:val="28"/>
          <w:szCs w:val="28"/>
          <w:lang w:val="en-US" w:eastAsia="zh-CN"/>
        </w:rPr>
        <w:t>收到资金后，</w:t>
      </w:r>
      <w:r>
        <w:rPr>
          <w:rFonts w:hint="eastAsia" w:ascii="宋体" w:hAnsi="宋体" w:cs="宋体"/>
          <w:kern w:val="0"/>
          <w:sz w:val="28"/>
          <w:szCs w:val="28"/>
          <w:lang w:eastAsia="zh-CN"/>
        </w:rPr>
        <w:t>财务人员</w:t>
      </w:r>
      <w:r>
        <w:rPr>
          <w:rFonts w:hint="eastAsia" w:ascii="宋体" w:hAnsi="宋体" w:cs="宋体"/>
          <w:kern w:val="0"/>
          <w:sz w:val="28"/>
          <w:szCs w:val="28"/>
          <w:lang w:val="en-US" w:eastAsia="zh-CN"/>
        </w:rPr>
        <w:t>按惯例使用了</w:t>
      </w:r>
      <w:r>
        <w:rPr>
          <w:rFonts w:hint="eastAsia" w:ascii="宋体" w:hAnsi="宋体" w:cs="宋体"/>
          <w:kern w:val="0"/>
          <w:sz w:val="28"/>
          <w:szCs w:val="28"/>
        </w:rPr>
        <w:t>“其他应收款”科目</w:t>
      </w:r>
      <w:r>
        <w:rPr>
          <w:rFonts w:hint="eastAsia" w:ascii="宋体" w:hAnsi="宋体" w:cs="宋体"/>
          <w:kern w:val="0"/>
          <w:sz w:val="28"/>
          <w:szCs w:val="28"/>
          <w:lang w:eastAsia="zh-CN"/>
        </w:rPr>
        <w:t>，</w:t>
      </w:r>
      <w:r>
        <w:rPr>
          <w:rFonts w:hint="eastAsia" w:ascii="宋体" w:hAnsi="宋体" w:cs="宋体"/>
          <w:kern w:val="0"/>
          <w:sz w:val="28"/>
          <w:szCs w:val="28"/>
          <w:lang w:val="en-US" w:eastAsia="zh-CN"/>
        </w:rPr>
        <w:t>计入该科目</w:t>
      </w:r>
      <w:r>
        <w:rPr>
          <w:rFonts w:hint="eastAsia" w:ascii="宋体" w:hAnsi="宋体" w:cs="宋体"/>
          <w:kern w:val="0"/>
          <w:sz w:val="28"/>
          <w:szCs w:val="28"/>
        </w:rPr>
        <w:t>贷方</w:t>
      </w:r>
      <w:r>
        <w:rPr>
          <w:rFonts w:hint="eastAsia" w:ascii="宋体" w:hAnsi="宋体" w:cs="宋体"/>
          <w:kern w:val="0"/>
          <w:sz w:val="28"/>
          <w:szCs w:val="28"/>
          <w:lang w:eastAsia="zh-CN"/>
        </w:rPr>
        <w:t>；</w:t>
      </w:r>
      <w:r>
        <w:rPr>
          <w:rFonts w:hint="eastAsia" w:ascii="宋体" w:hAnsi="宋体" w:cs="宋体"/>
          <w:kern w:val="0"/>
          <w:sz w:val="28"/>
          <w:szCs w:val="28"/>
        </w:rPr>
        <w:t>同年2月9日，公司归</w:t>
      </w:r>
      <w:r>
        <w:rPr>
          <w:rFonts w:hint="eastAsia" w:ascii="宋体" w:hAnsi="宋体" w:cs="宋体"/>
          <w:kern w:val="0"/>
          <w:sz w:val="28"/>
          <w:szCs w:val="28"/>
          <w:lang w:val="en-US" w:eastAsia="zh-CN"/>
        </w:rPr>
        <w:t>还湖北公司上述借款，计入“其他应收款”科目借方，并计提资金占用费16.95万元（借款利息），计入公司“财务费用-利息支出”科目。该笔往来款项公司为资金借入方，湖北公司为资金借出方，没有形成湖北公司对我公司的非经营性资金占用。</w:t>
      </w:r>
    </w:p>
    <w:p>
      <w:pPr>
        <w:ind w:firstLine="560" w:firstLineChars="200"/>
        <w:contextualSpacing/>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由于公司在“其他应收款”科目中核算该资金拆借业务不够严谨，为准确反映业务性质，拟将该资金拆借事项由“其他应收款”科目调为“其他应付款”科目；同时，瑞华会计师事务所将该笔业务从专项审计报告中去除。具体情况详见同日披露的关于公司《非经营性资金占用及其他关联资金往来情况汇总表的专项审核报告》的补充更正公告（公告编号：2019-029）</w:t>
      </w:r>
      <w:r>
        <w:rPr>
          <w:rFonts w:hint="eastAsia" w:ascii="宋体" w:hAnsi="宋体" w:cs="宋体"/>
          <w:kern w:val="0"/>
          <w:sz w:val="28"/>
          <w:szCs w:val="28"/>
          <w:lang w:eastAsia="zh-CN"/>
        </w:rPr>
        <w:t>。</w:t>
      </w:r>
    </w:p>
    <w:p>
      <w:pPr>
        <w:ind w:firstLine="560" w:firstLineChars="200"/>
        <w:contextualSpacing/>
        <w:rPr>
          <w:rFonts w:ascii="宋体" w:hAnsi="宋体" w:cs="宋体"/>
          <w:kern w:val="0"/>
          <w:sz w:val="28"/>
          <w:szCs w:val="28"/>
        </w:rPr>
      </w:pPr>
      <w:r>
        <w:rPr>
          <w:rFonts w:hint="eastAsia" w:ascii="宋体" w:hAnsi="宋体" w:cs="宋体"/>
          <w:kern w:val="0"/>
          <w:sz w:val="28"/>
          <w:szCs w:val="28"/>
        </w:rPr>
        <w:t>（2）与东升煤业往来情况</w:t>
      </w:r>
    </w:p>
    <w:p>
      <w:pPr>
        <w:ind w:firstLine="560" w:firstLineChars="200"/>
        <w:contextualSpacing/>
        <w:rPr>
          <w:rFonts w:ascii="宋体" w:hAnsi="宋体" w:cs="宋体"/>
          <w:kern w:val="0"/>
          <w:sz w:val="28"/>
          <w:szCs w:val="28"/>
        </w:rPr>
      </w:pPr>
      <w:r>
        <w:rPr>
          <w:rFonts w:hint="eastAsia" w:ascii="宋体" w:hAnsi="宋体" w:cs="宋体"/>
          <w:kern w:val="0"/>
          <w:sz w:val="28"/>
          <w:szCs w:val="28"/>
        </w:rPr>
        <w:t>公司于2008年8月投资东升煤业，</w:t>
      </w:r>
      <w:r>
        <w:rPr>
          <w:rFonts w:hint="eastAsia" w:ascii="宋体" w:hAnsi="宋体" w:cs="宋体"/>
          <w:kern w:val="0"/>
          <w:sz w:val="28"/>
          <w:szCs w:val="28"/>
          <w:lang w:eastAsia="zh-CN"/>
        </w:rPr>
        <w:t>目前</w:t>
      </w:r>
      <w:r>
        <w:rPr>
          <w:rFonts w:hint="eastAsia" w:ascii="宋体" w:hAnsi="宋体" w:cs="宋体"/>
          <w:kern w:val="0"/>
          <w:sz w:val="28"/>
          <w:szCs w:val="28"/>
        </w:rPr>
        <w:t>其股权结构为</w:t>
      </w:r>
      <w:r>
        <w:rPr>
          <w:rFonts w:hint="eastAsia" w:ascii="宋体" w:hAnsi="宋体" w:cs="宋体"/>
          <w:kern w:val="0"/>
          <w:sz w:val="28"/>
          <w:szCs w:val="28"/>
          <w:lang w:val="zh-CN"/>
        </w:rPr>
        <w:t>：河南省煤层气开发利用有限公司</w:t>
      </w:r>
      <w:r>
        <w:rPr>
          <w:rFonts w:hint="eastAsia" w:ascii="宋体" w:hAnsi="宋体" w:cs="宋体"/>
          <w:kern w:val="0"/>
          <w:sz w:val="28"/>
          <w:szCs w:val="28"/>
        </w:rPr>
        <w:t>(以下简称煤层气公司）</w:t>
      </w:r>
      <w:r>
        <w:rPr>
          <w:rFonts w:hint="eastAsia" w:ascii="宋体" w:hAnsi="宋体" w:cs="宋体"/>
          <w:kern w:val="0"/>
          <w:sz w:val="28"/>
          <w:szCs w:val="28"/>
          <w:lang w:val="zh-CN"/>
        </w:rPr>
        <w:t>控股52%，公司参股40%，其他小股东参股合计</w:t>
      </w:r>
      <w:r>
        <w:rPr>
          <w:rFonts w:hint="eastAsia" w:ascii="宋体" w:hAnsi="宋体" w:cs="宋体"/>
          <w:kern w:val="0"/>
          <w:sz w:val="28"/>
          <w:szCs w:val="28"/>
        </w:rPr>
        <w:t>8</w:t>
      </w:r>
      <w:r>
        <w:rPr>
          <w:rFonts w:hint="eastAsia" w:ascii="宋体" w:hAnsi="宋体" w:cs="宋体"/>
          <w:kern w:val="0"/>
          <w:sz w:val="28"/>
          <w:szCs w:val="28"/>
          <w:lang w:val="zh-CN"/>
        </w:rPr>
        <w:t>%。截止</w:t>
      </w:r>
      <w:r>
        <w:rPr>
          <w:rFonts w:hint="eastAsia" w:ascii="宋体" w:hAnsi="宋体" w:cs="宋体"/>
          <w:kern w:val="0"/>
          <w:sz w:val="28"/>
          <w:szCs w:val="28"/>
        </w:rPr>
        <w:t>2018年底，公司对联营企业东升煤业其他应收款期末余额1584.98万元，期初余额1230万元，当期发生额354.98万元。</w:t>
      </w:r>
    </w:p>
    <w:p>
      <w:pPr>
        <w:ind w:firstLine="560" w:firstLineChars="200"/>
        <w:contextualSpacing/>
        <w:rPr>
          <w:rFonts w:ascii="宋体" w:hAnsi="宋体" w:cs="宋体"/>
          <w:kern w:val="0"/>
          <w:sz w:val="28"/>
          <w:szCs w:val="28"/>
        </w:rPr>
      </w:pPr>
      <w:r>
        <w:rPr>
          <w:rFonts w:ascii="Calibri" w:hAnsi="Calibri" w:cs="Calibri"/>
          <w:kern w:val="0"/>
          <w:sz w:val="28"/>
          <w:szCs w:val="28"/>
        </w:rPr>
        <w:t>①</w:t>
      </w:r>
      <w:r>
        <w:rPr>
          <w:rFonts w:hint="eastAsia" w:ascii="宋体" w:hAnsi="宋体" w:cs="宋体"/>
          <w:kern w:val="0"/>
          <w:sz w:val="28"/>
          <w:szCs w:val="28"/>
        </w:rPr>
        <w:t>期初余额1230万元</w:t>
      </w:r>
      <w:r>
        <w:rPr>
          <w:rFonts w:hint="eastAsia" w:ascii="宋体" w:hAnsi="宋体" w:cs="宋体"/>
          <w:kern w:val="0"/>
          <w:sz w:val="28"/>
          <w:szCs w:val="28"/>
          <w:lang w:eastAsia="zh-CN"/>
        </w:rPr>
        <w:t>，</w:t>
      </w:r>
      <w:r>
        <w:rPr>
          <w:rFonts w:hint="eastAsia" w:ascii="宋体" w:hAnsi="宋体" w:cs="宋体"/>
          <w:kern w:val="0"/>
          <w:sz w:val="28"/>
          <w:szCs w:val="28"/>
        </w:rPr>
        <w:t>由</w:t>
      </w:r>
      <w:r>
        <w:rPr>
          <w:rFonts w:hint="eastAsia" w:ascii="宋体" w:hAnsi="宋体" w:cs="宋体"/>
          <w:kern w:val="0"/>
          <w:sz w:val="28"/>
          <w:szCs w:val="28"/>
          <w:lang w:eastAsia="zh-CN"/>
        </w:rPr>
        <w:t>河南煤业燃料预付款</w:t>
      </w:r>
      <w:r>
        <w:rPr>
          <w:rFonts w:hint="eastAsia" w:ascii="宋体" w:hAnsi="宋体" w:cs="宋体"/>
          <w:kern w:val="0"/>
          <w:sz w:val="28"/>
          <w:szCs w:val="28"/>
          <w:lang w:val="en-US" w:eastAsia="zh-CN"/>
        </w:rPr>
        <w:t>500万元</w:t>
      </w:r>
      <w:r>
        <w:rPr>
          <w:rFonts w:hint="eastAsia" w:ascii="宋体" w:hAnsi="宋体" w:cs="宋体"/>
          <w:kern w:val="0"/>
          <w:sz w:val="28"/>
          <w:szCs w:val="28"/>
          <w:lang w:eastAsia="zh-CN"/>
        </w:rPr>
        <w:t>、河南能源燃料预付款</w:t>
      </w:r>
      <w:r>
        <w:rPr>
          <w:rFonts w:hint="eastAsia" w:ascii="宋体" w:hAnsi="宋体" w:cs="宋体"/>
          <w:kern w:val="0"/>
          <w:sz w:val="28"/>
          <w:szCs w:val="28"/>
          <w:lang w:val="en-US" w:eastAsia="zh-CN"/>
        </w:rPr>
        <w:t>100万元及公司本部借款630万元（本金400万元，利息230万元）</w:t>
      </w:r>
      <w:r>
        <w:rPr>
          <w:rFonts w:hint="eastAsia" w:ascii="宋体" w:hAnsi="宋体" w:cs="宋体"/>
          <w:kern w:val="0"/>
          <w:sz w:val="28"/>
          <w:szCs w:val="28"/>
        </w:rPr>
        <w:t>三部分组成</w:t>
      </w:r>
      <w:r>
        <w:rPr>
          <w:rFonts w:hint="eastAsia" w:ascii="宋体" w:hAnsi="宋体" w:cs="宋体"/>
          <w:kern w:val="0"/>
          <w:sz w:val="28"/>
          <w:szCs w:val="28"/>
          <w:lang w:eastAsia="zh-CN"/>
        </w:rPr>
        <w:t>，具体如下</w:t>
      </w:r>
      <w:r>
        <w:rPr>
          <w:rFonts w:hint="eastAsia" w:ascii="宋体" w:hAnsi="宋体" w:cs="宋体"/>
          <w:kern w:val="0"/>
          <w:sz w:val="28"/>
          <w:szCs w:val="28"/>
        </w:rPr>
        <w:t>：</w:t>
      </w:r>
    </w:p>
    <w:p>
      <w:pPr>
        <w:ind w:firstLine="560" w:firstLineChars="200"/>
        <w:contextualSpacing/>
        <w:rPr>
          <w:rFonts w:ascii="宋体" w:hAnsi="宋体" w:cs="宋体"/>
          <w:kern w:val="0"/>
          <w:sz w:val="28"/>
          <w:szCs w:val="28"/>
        </w:rPr>
      </w:pPr>
      <w:r>
        <w:rPr>
          <w:rFonts w:hint="eastAsia" w:ascii="宋体" w:hAnsi="宋体" w:cs="宋体"/>
          <w:kern w:val="0"/>
          <w:sz w:val="28"/>
          <w:szCs w:val="28"/>
        </w:rPr>
        <w:t>A.公司</w:t>
      </w:r>
      <w:r>
        <w:rPr>
          <w:rFonts w:hint="eastAsia" w:ascii="宋体" w:hAnsi="宋体" w:cs="宋体"/>
          <w:kern w:val="0"/>
          <w:sz w:val="28"/>
          <w:szCs w:val="28"/>
          <w:lang w:eastAsia="zh-CN"/>
        </w:rPr>
        <w:t>控股子公司</w:t>
      </w:r>
      <w:r>
        <w:rPr>
          <w:rFonts w:hint="eastAsia" w:ascii="宋体" w:hAnsi="宋体" w:cs="宋体"/>
          <w:kern w:val="0"/>
          <w:sz w:val="28"/>
          <w:szCs w:val="28"/>
        </w:rPr>
        <w:t>国电长源河南煤业有限公司（以下简称河南煤业，</w:t>
      </w:r>
      <w:r>
        <w:rPr>
          <w:rFonts w:hint="eastAsia" w:ascii="宋体" w:hAnsi="宋体"/>
          <w:sz w:val="28"/>
          <w:szCs w:val="28"/>
        </w:rPr>
        <w:t>公司持有其75%股权</w:t>
      </w:r>
      <w:r>
        <w:rPr>
          <w:rFonts w:hint="eastAsia" w:ascii="宋体" w:hAnsi="宋体" w:cs="宋体"/>
          <w:kern w:val="0"/>
          <w:sz w:val="28"/>
          <w:szCs w:val="28"/>
        </w:rPr>
        <w:t>）燃料预付账款500万元。2009年9月，河南煤业与东升煤业签订煤炭购销合同，向</w:t>
      </w:r>
      <w:r>
        <w:rPr>
          <w:rFonts w:hint="eastAsia" w:ascii="宋体" w:hAnsi="宋体" w:cs="宋体"/>
          <w:kern w:val="0"/>
          <w:sz w:val="28"/>
          <w:szCs w:val="28"/>
          <w:lang w:eastAsia="zh-CN"/>
        </w:rPr>
        <w:t>其</w:t>
      </w:r>
      <w:r>
        <w:rPr>
          <w:rFonts w:hint="eastAsia" w:ascii="宋体" w:hAnsi="宋体" w:cs="宋体"/>
          <w:kern w:val="0"/>
          <w:sz w:val="28"/>
          <w:szCs w:val="28"/>
        </w:rPr>
        <w:t>支付购煤预付款500万元。此后，由于受平顶山新华四矿瓦斯爆炸事故及</w:t>
      </w:r>
      <w:r>
        <w:rPr>
          <w:rFonts w:hint="eastAsia" w:ascii="宋体" w:hAnsi="宋体" w:cs="宋体"/>
          <w:kern w:val="0"/>
          <w:sz w:val="28"/>
          <w:szCs w:val="28"/>
          <w:lang w:val="zh-CN"/>
        </w:rPr>
        <w:t>河南省煤矿安全整顿</w:t>
      </w:r>
      <w:r>
        <w:rPr>
          <w:rFonts w:hint="eastAsia" w:ascii="宋体" w:hAnsi="宋体" w:cs="宋体"/>
          <w:kern w:val="0"/>
          <w:sz w:val="28"/>
          <w:szCs w:val="28"/>
        </w:rPr>
        <w:t>影响，</w:t>
      </w:r>
      <w:r>
        <w:rPr>
          <w:rFonts w:hint="eastAsia" w:ascii="宋体" w:hAnsi="宋体" w:cs="宋体"/>
          <w:kern w:val="0"/>
          <w:sz w:val="28"/>
          <w:szCs w:val="28"/>
          <w:lang w:eastAsia="zh-CN"/>
        </w:rPr>
        <w:t>东升煤业</w:t>
      </w:r>
      <w:r>
        <w:rPr>
          <w:rFonts w:hint="eastAsia" w:ascii="宋体" w:hAnsi="宋体" w:cs="宋体"/>
          <w:kern w:val="0"/>
          <w:sz w:val="28"/>
          <w:szCs w:val="28"/>
          <w:lang w:val="en-US" w:eastAsia="zh-CN"/>
        </w:rPr>
        <w:t>停工停产</w:t>
      </w:r>
      <w:r>
        <w:rPr>
          <w:rFonts w:hint="eastAsia" w:ascii="宋体" w:hAnsi="宋体" w:cs="宋体"/>
          <w:kern w:val="0"/>
          <w:sz w:val="28"/>
          <w:szCs w:val="28"/>
          <w:lang w:eastAsia="zh-CN"/>
        </w:rPr>
        <w:t>，</w:t>
      </w:r>
      <w:r>
        <w:rPr>
          <w:rFonts w:hint="eastAsia" w:ascii="宋体" w:hAnsi="宋体" w:cs="宋体"/>
          <w:kern w:val="0"/>
          <w:sz w:val="28"/>
          <w:szCs w:val="28"/>
        </w:rPr>
        <w:t>不能履行供煤义务，无力返还购煤资金,此款至今仍挂账。由于存在履约风险，经中瑞岳华会计师事务所确认，该笔预付款项调整至其他应收款</w:t>
      </w:r>
      <w:r>
        <w:rPr>
          <w:rFonts w:hint="eastAsia" w:ascii="宋体" w:hAnsi="宋体" w:cs="宋体"/>
          <w:kern w:val="0"/>
          <w:sz w:val="28"/>
          <w:szCs w:val="28"/>
          <w:lang w:val="en-US" w:eastAsia="zh-CN"/>
        </w:rPr>
        <w:t>,并对其计提坏账准备。</w:t>
      </w:r>
      <w:r>
        <w:rPr>
          <w:rFonts w:hint="eastAsia" w:ascii="宋体" w:hAnsi="宋体" w:cs="宋体"/>
          <w:kern w:val="0"/>
          <w:sz w:val="28"/>
          <w:szCs w:val="28"/>
        </w:rPr>
        <w:t>截止2018年底，该应收款项已全额计提坏账准备。</w:t>
      </w:r>
      <w:r>
        <w:rPr>
          <w:rFonts w:hint="eastAsia" w:ascii="宋体" w:hAnsi="宋体" w:cs="宋体"/>
          <w:kern w:val="0"/>
          <w:sz w:val="28"/>
          <w:szCs w:val="28"/>
          <w:lang w:eastAsia="zh-CN"/>
        </w:rPr>
        <w:t>因该</w:t>
      </w:r>
      <w:r>
        <w:rPr>
          <w:rFonts w:hint="eastAsia" w:ascii="宋体" w:hAnsi="宋体" w:cs="宋体"/>
          <w:kern w:val="0"/>
          <w:sz w:val="28"/>
          <w:szCs w:val="28"/>
        </w:rPr>
        <w:t>款项性质为燃煤采购预付款，</w:t>
      </w:r>
      <w:r>
        <w:rPr>
          <w:rFonts w:hint="eastAsia" w:ascii="宋体" w:hAnsi="宋体" w:cs="宋体"/>
          <w:kern w:val="0"/>
          <w:sz w:val="28"/>
          <w:szCs w:val="28"/>
          <w:lang w:eastAsia="zh-CN"/>
        </w:rPr>
        <w:t>故</w:t>
      </w:r>
      <w:r>
        <w:rPr>
          <w:rFonts w:hint="eastAsia" w:ascii="宋体" w:hAnsi="宋体" w:cs="宋体"/>
          <w:kern w:val="0"/>
          <w:sz w:val="28"/>
          <w:szCs w:val="28"/>
        </w:rPr>
        <w:t>不构成对东升煤业的财务资助。</w:t>
      </w:r>
    </w:p>
    <w:p>
      <w:pPr>
        <w:ind w:firstLine="560" w:firstLineChars="200"/>
        <w:contextualSpacing/>
        <w:rPr>
          <w:rFonts w:ascii="宋体" w:hAnsi="宋体" w:cs="宋体"/>
          <w:kern w:val="0"/>
          <w:sz w:val="28"/>
          <w:szCs w:val="28"/>
        </w:rPr>
      </w:pPr>
      <w:r>
        <w:rPr>
          <w:rFonts w:hint="eastAsia" w:ascii="宋体" w:hAnsi="宋体" w:cs="宋体"/>
          <w:kern w:val="0"/>
          <w:sz w:val="28"/>
          <w:szCs w:val="28"/>
        </w:rPr>
        <w:t>B.公司本部向东升煤业借款400万元。2010年2月，河南省政府实施煤炭资源整合工作，煤层气公司作为河南省内6家具备整合主体资格的企业，于2010年3月23日完成对东升煤业的</w:t>
      </w:r>
      <w:r>
        <w:rPr>
          <w:rFonts w:hint="eastAsia" w:ascii="宋体" w:hAnsi="宋体" w:cs="宋体"/>
          <w:kern w:val="0"/>
          <w:sz w:val="28"/>
          <w:szCs w:val="28"/>
          <w:lang w:eastAsia="zh-CN"/>
        </w:rPr>
        <w:t>兼并</w:t>
      </w:r>
      <w:r>
        <w:rPr>
          <w:rFonts w:hint="eastAsia" w:ascii="宋体" w:hAnsi="宋体" w:cs="宋体"/>
          <w:kern w:val="0"/>
          <w:sz w:val="28"/>
          <w:szCs w:val="28"/>
        </w:rPr>
        <w:t>重组。3月30日，</w:t>
      </w:r>
      <w:r>
        <w:rPr>
          <w:rFonts w:hint="eastAsia" w:ascii="宋体" w:hAnsi="宋体" w:cs="宋体"/>
          <w:kern w:val="0"/>
          <w:sz w:val="28"/>
          <w:szCs w:val="28"/>
          <w:lang w:eastAsia="zh-CN"/>
        </w:rPr>
        <w:t>东升煤业</w:t>
      </w:r>
      <w:r>
        <w:rPr>
          <w:rFonts w:hint="eastAsia" w:ascii="宋体" w:hAnsi="宋体" w:cs="宋体"/>
          <w:kern w:val="0"/>
          <w:sz w:val="28"/>
          <w:szCs w:val="28"/>
        </w:rPr>
        <w:t>召开股东会，为支持</w:t>
      </w:r>
      <w:r>
        <w:rPr>
          <w:rFonts w:hint="eastAsia" w:ascii="宋体" w:hAnsi="宋体" w:cs="宋体"/>
          <w:kern w:val="0"/>
          <w:sz w:val="28"/>
          <w:szCs w:val="28"/>
          <w:lang w:eastAsia="zh-CN"/>
        </w:rPr>
        <w:t>其</w:t>
      </w:r>
      <w:r>
        <w:rPr>
          <w:rFonts w:hint="eastAsia" w:ascii="宋体" w:hAnsi="宋体" w:cs="宋体"/>
          <w:kern w:val="0"/>
          <w:sz w:val="28"/>
          <w:szCs w:val="28"/>
        </w:rPr>
        <w:t>重组后尽快恢复生产，会议决议通过各股东按股比向其合计提供借款1000万元。随后公司与东升煤业签订了借款协议，借款本金400万元，期限6个月，年利率10%，并于2010年4月13日支付了该笔款项。东升煤业股东融资1000万元到位后，当年复工复产并生产原煤42,230吨。</w:t>
      </w:r>
      <w:r>
        <w:rPr>
          <w:rFonts w:hint="eastAsia" w:ascii="宋体" w:hAnsi="宋体" w:cs="宋体"/>
          <w:kern w:val="0"/>
          <w:sz w:val="28"/>
          <w:szCs w:val="28"/>
          <w:lang w:eastAsia="zh-CN"/>
        </w:rPr>
        <w:t>后</w:t>
      </w:r>
      <w:r>
        <w:rPr>
          <w:rFonts w:hint="eastAsia" w:ascii="宋体" w:hAnsi="宋体" w:cs="宋体"/>
          <w:kern w:val="0"/>
          <w:sz w:val="28"/>
          <w:szCs w:val="28"/>
        </w:rPr>
        <w:t>受煤层气公司董事长受贿等问题影响，东升煤业于2010年底停产，该笔借款</w:t>
      </w:r>
      <w:r>
        <w:rPr>
          <w:rFonts w:hint="eastAsia" w:ascii="宋体" w:hAnsi="宋体" w:cs="宋体"/>
          <w:kern w:val="0"/>
          <w:sz w:val="28"/>
          <w:szCs w:val="28"/>
          <w:lang w:eastAsia="zh-CN"/>
        </w:rPr>
        <w:t>至今</w:t>
      </w:r>
      <w:r>
        <w:rPr>
          <w:rFonts w:hint="eastAsia" w:ascii="宋体" w:hAnsi="宋体" w:cs="宋体"/>
          <w:kern w:val="0"/>
          <w:sz w:val="28"/>
          <w:szCs w:val="28"/>
        </w:rPr>
        <w:t>未偿还，公司计提了借款利息230万元，本息合计630万元。</w:t>
      </w:r>
      <w:r>
        <w:rPr>
          <w:rFonts w:hint="eastAsia" w:ascii="宋体" w:hAnsi="宋体" w:cs="宋体"/>
          <w:kern w:val="0"/>
          <w:sz w:val="28"/>
          <w:szCs w:val="28"/>
          <w:lang w:val="en-US" w:eastAsia="zh-CN"/>
        </w:rPr>
        <w:t>截止2018年底，该笔应收款项已全额计提坏账准备。</w:t>
      </w:r>
    </w:p>
    <w:p>
      <w:pPr>
        <w:pStyle w:val="7"/>
        <w:keepNext w:val="0"/>
        <w:keepLines w:val="0"/>
        <w:widowControl/>
        <w:suppressLineNumbers w:val="0"/>
        <w:shd w:val="clear" w:fill="FFFFFF"/>
        <w:spacing w:before="0" w:beforeAutospacing="0" w:after="150" w:afterAutospacing="0"/>
        <w:ind w:right="0" w:firstLine="560" w:firstLineChars="200"/>
        <w:rPr>
          <w:rFonts w:hint="eastAsia" w:ascii="宋体" w:hAnsi="宋体" w:cs="宋体"/>
          <w:kern w:val="0"/>
          <w:sz w:val="28"/>
          <w:szCs w:val="28"/>
        </w:rPr>
      </w:pPr>
      <w:r>
        <w:rPr>
          <w:rFonts w:hint="eastAsia" w:ascii="宋体" w:hAnsi="宋体" w:cs="宋体"/>
          <w:kern w:val="0"/>
          <w:sz w:val="28"/>
          <w:szCs w:val="28"/>
          <w:lang w:eastAsia="zh-CN"/>
        </w:rPr>
        <w:t>上述</w:t>
      </w:r>
      <w:r>
        <w:rPr>
          <w:rFonts w:hint="eastAsia" w:ascii="宋体" w:hAnsi="宋体" w:cs="宋体"/>
          <w:kern w:val="0"/>
          <w:sz w:val="28"/>
          <w:szCs w:val="28"/>
        </w:rPr>
        <w:t>借款</w:t>
      </w:r>
      <w:r>
        <w:rPr>
          <w:rFonts w:hint="eastAsia" w:ascii="宋体" w:hAnsi="宋体" w:cs="宋体"/>
          <w:kern w:val="0"/>
          <w:sz w:val="28"/>
          <w:szCs w:val="28"/>
          <w:lang w:eastAsia="zh-CN"/>
        </w:rPr>
        <w:t>事项</w:t>
      </w:r>
      <w:r>
        <w:rPr>
          <w:rFonts w:hint="eastAsia" w:ascii="宋体" w:hAnsi="宋体" w:cs="宋体"/>
          <w:kern w:val="0"/>
          <w:sz w:val="28"/>
          <w:szCs w:val="28"/>
        </w:rPr>
        <w:t>发生于2010年4月，</w:t>
      </w:r>
      <w:r>
        <w:rPr>
          <w:rFonts w:hint="eastAsia" w:ascii="宋体" w:hAnsi="宋体" w:cs="宋体"/>
          <w:kern w:val="0"/>
          <w:sz w:val="28"/>
          <w:szCs w:val="28"/>
          <w:lang w:val="en-US" w:eastAsia="zh-CN"/>
        </w:rPr>
        <w:t>根据深交所《股票上市规则》和公司章程的有关规定，该笔借款无须提交公司董事会审议并履行相关信息披露义务</w:t>
      </w:r>
      <w:bookmarkStart w:id="0" w:name="_GoBack"/>
      <w:bookmarkEnd w:id="0"/>
      <w:r>
        <w:rPr>
          <w:rFonts w:hint="eastAsia" w:ascii="宋体" w:hAnsi="宋体" w:cs="宋体"/>
          <w:kern w:val="0"/>
          <w:sz w:val="28"/>
          <w:szCs w:val="28"/>
          <w:lang w:val="en-US" w:eastAsia="zh-CN"/>
        </w:rPr>
        <w:t>。</w:t>
      </w:r>
    </w:p>
    <w:p>
      <w:pPr>
        <w:ind w:firstLine="560" w:firstLineChars="200"/>
        <w:contextualSpacing/>
        <w:rPr>
          <w:rFonts w:ascii="宋体" w:hAnsi="宋体" w:cs="宋体"/>
          <w:kern w:val="0"/>
          <w:sz w:val="28"/>
          <w:szCs w:val="28"/>
        </w:rPr>
      </w:pPr>
      <w:r>
        <w:rPr>
          <w:rFonts w:hint="eastAsia" w:ascii="宋体" w:hAnsi="宋体" w:cs="宋体"/>
          <w:kern w:val="0"/>
          <w:sz w:val="28"/>
          <w:szCs w:val="28"/>
        </w:rPr>
        <w:t>C.</w:t>
      </w:r>
      <w:r>
        <w:rPr>
          <w:rFonts w:hint="eastAsia" w:ascii="宋体" w:hAnsi="宋体" w:cs="宋体"/>
          <w:kern w:val="0"/>
          <w:sz w:val="28"/>
          <w:szCs w:val="28"/>
          <w:lang w:val="en-US" w:eastAsia="zh-CN"/>
        </w:rPr>
        <w:t>公司全资子公司</w:t>
      </w:r>
      <w:r>
        <w:rPr>
          <w:rFonts w:hint="eastAsia" w:ascii="宋体" w:hAnsi="宋体" w:cs="宋体"/>
          <w:kern w:val="0"/>
          <w:sz w:val="28"/>
          <w:szCs w:val="28"/>
        </w:rPr>
        <w:t>国电长源河南能源有限公司（以下简称河南能源，</w:t>
      </w:r>
      <w:r>
        <w:rPr>
          <w:rFonts w:hint="eastAsia" w:ascii="宋体" w:hAnsi="宋体" w:cs="宋体"/>
          <w:kern w:val="0"/>
          <w:sz w:val="28"/>
          <w:szCs w:val="28"/>
          <w:lang w:val="en-US" w:eastAsia="zh-CN"/>
        </w:rPr>
        <w:t>已清算注销</w:t>
      </w:r>
      <w:r>
        <w:rPr>
          <w:rFonts w:hint="eastAsia" w:ascii="宋体" w:hAnsi="宋体" w:cs="宋体"/>
          <w:kern w:val="0"/>
          <w:sz w:val="28"/>
          <w:szCs w:val="28"/>
        </w:rPr>
        <w:t>）预付煤款100万元。2012年3月，在煤层气公司高层明确尽快推进东升煤业复工复产工作后，河南能源与东升煤业签订煤炭购销合同，向</w:t>
      </w:r>
      <w:r>
        <w:rPr>
          <w:rFonts w:hint="eastAsia" w:ascii="宋体" w:hAnsi="宋体" w:cs="宋体"/>
          <w:kern w:val="0"/>
          <w:sz w:val="28"/>
          <w:szCs w:val="28"/>
          <w:lang w:eastAsia="zh-CN"/>
        </w:rPr>
        <w:t>其</w:t>
      </w:r>
      <w:r>
        <w:rPr>
          <w:rFonts w:hint="eastAsia" w:ascii="宋体" w:hAnsi="宋体" w:cs="宋体"/>
          <w:kern w:val="0"/>
          <w:sz w:val="28"/>
          <w:szCs w:val="28"/>
        </w:rPr>
        <w:t>支付购煤预付款100万元。后东升煤业因煤炭市场变化，投入、产出经济性不强以及煤层气公司转型等原因未能如期复工复产，预付煤款无力偿还，此款项一直挂账。2014年12月，河南能源注销后，根据有关法律法规的规定，该债权转移到我公司。由于存在履约风险，经中审众环会计师事务所确认，该笔预付款项调整至其他应收款</w:t>
      </w:r>
      <w:r>
        <w:rPr>
          <w:rFonts w:hint="eastAsia" w:ascii="宋体" w:hAnsi="宋体" w:cs="宋体"/>
          <w:kern w:val="0"/>
          <w:sz w:val="28"/>
          <w:szCs w:val="28"/>
          <w:lang w:val="en-US" w:eastAsia="zh-CN"/>
        </w:rPr>
        <w:t>,并对其计提坏账准备。</w:t>
      </w:r>
      <w:r>
        <w:rPr>
          <w:rFonts w:hint="eastAsia" w:ascii="宋体" w:hAnsi="宋体" w:cs="宋体"/>
          <w:kern w:val="0"/>
          <w:sz w:val="28"/>
          <w:szCs w:val="28"/>
        </w:rPr>
        <w:t>截止2018年底，</w:t>
      </w:r>
      <w:r>
        <w:rPr>
          <w:rFonts w:hint="eastAsia" w:ascii="宋体" w:hAnsi="宋体" w:cs="宋体"/>
          <w:kern w:val="0"/>
          <w:sz w:val="28"/>
          <w:szCs w:val="28"/>
          <w:lang w:eastAsia="zh-CN"/>
        </w:rPr>
        <w:t>该</w:t>
      </w:r>
      <w:r>
        <w:rPr>
          <w:rFonts w:hint="eastAsia" w:ascii="宋体" w:hAnsi="宋体" w:cs="宋体"/>
          <w:kern w:val="0"/>
          <w:sz w:val="28"/>
          <w:szCs w:val="28"/>
        </w:rPr>
        <w:t>应收款项已全额计提坏账准备。</w:t>
      </w:r>
      <w:r>
        <w:rPr>
          <w:rFonts w:hint="eastAsia" w:ascii="宋体" w:hAnsi="宋体" w:cs="宋体"/>
          <w:kern w:val="0"/>
          <w:sz w:val="28"/>
          <w:szCs w:val="28"/>
          <w:lang w:eastAsia="zh-CN"/>
        </w:rPr>
        <w:t>因该</w:t>
      </w:r>
      <w:r>
        <w:rPr>
          <w:rFonts w:hint="eastAsia" w:ascii="宋体" w:hAnsi="宋体" w:cs="宋体"/>
          <w:kern w:val="0"/>
          <w:sz w:val="28"/>
          <w:szCs w:val="28"/>
        </w:rPr>
        <w:t>款项性质为燃煤采购预付款，</w:t>
      </w:r>
      <w:r>
        <w:rPr>
          <w:rFonts w:hint="eastAsia" w:ascii="宋体" w:hAnsi="宋体" w:cs="宋体"/>
          <w:kern w:val="0"/>
          <w:sz w:val="28"/>
          <w:szCs w:val="28"/>
          <w:lang w:eastAsia="zh-CN"/>
        </w:rPr>
        <w:t>故</w:t>
      </w:r>
      <w:r>
        <w:rPr>
          <w:rFonts w:hint="eastAsia" w:ascii="宋体" w:hAnsi="宋体" w:cs="宋体"/>
          <w:kern w:val="0"/>
          <w:sz w:val="28"/>
          <w:szCs w:val="28"/>
        </w:rPr>
        <w:t>不构成对东升煤业的财务资助。</w:t>
      </w:r>
    </w:p>
    <w:p>
      <w:pPr>
        <w:ind w:firstLine="560" w:firstLineChars="200"/>
        <w:contextualSpacing/>
        <w:rPr>
          <w:rFonts w:ascii="宋体" w:hAnsi="宋体" w:cs="宋体"/>
          <w:kern w:val="0"/>
          <w:sz w:val="28"/>
          <w:szCs w:val="28"/>
        </w:rPr>
      </w:pPr>
      <w:r>
        <w:rPr>
          <w:rFonts w:ascii="Calibri" w:hAnsi="Calibri" w:cs="Calibri"/>
          <w:kern w:val="0"/>
          <w:sz w:val="28"/>
          <w:szCs w:val="28"/>
        </w:rPr>
        <w:t>②</w:t>
      </w:r>
      <w:r>
        <w:rPr>
          <w:rFonts w:hint="eastAsia" w:ascii="宋体" w:hAnsi="宋体" w:cs="宋体"/>
          <w:kern w:val="0"/>
          <w:sz w:val="28"/>
          <w:szCs w:val="28"/>
        </w:rPr>
        <w:t>当期发生额354.98万元，形成原因如下：</w:t>
      </w:r>
    </w:p>
    <w:p>
      <w:pPr>
        <w:ind w:firstLine="560" w:firstLineChars="200"/>
        <w:contextualSpacing/>
        <w:rPr>
          <w:rFonts w:ascii="宋体" w:hAnsi="宋体" w:cs="宋体"/>
          <w:kern w:val="0"/>
          <w:sz w:val="28"/>
          <w:szCs w:val="28"/>
        </w:rPr>
      </w:pPr>
      <w:r>
        <w:rPr>
          <w:rFonts w:hint="eastAsia" w:ascii="宋体" w:hAnsi="宋体" w:cs="宋体"/>
          <w:kern w:val="0"/>
          <w:sz w:val="28"/>
          <w:szCs w:val="28"/>
        </w:rPr>
        <w:t>为缓解煤炭供应紧张局面，增加煤炭采购渠道，保障电厂煤炭供应，2009年12月21日，公司全资子公司国电长源汉川第一发电有限公司（以下简称汉川一发）向平顶山电煤联合销售有限公司（以下简称电煤联合）支付煤炭购销预付款200万元，向其采购发电用煤，但受地方煤炭整合政策影响，电煤联合未能按合同约定履行煤炭供应义务，亦无力偿还煤炭采购预付款。2010年1月5日，汉川一发向平顶山市东升煤炭运销有限公司（以下简称东升煤销）支付煤炭购销预付款500万元，向其采购发电用煤，东升煤销于当年3月发运煤炭5,308吨（结算金额345.02万元）后，受地方煤炭整合政策影响，未能按合同约定</w:t>
      </w:r>
      <w:r>
        <w:rPr>
          <w:rFonts w:hint="eastAsia" w:ascii="宋体" w:hAnsi="宋体" w:cs="宋体"/>
          <w:kern w:val="0"/>
          <w:sz w:val="28"/>
          <w:szCs w:val="28"/>
          <w:lang w:eastAsia="zh-CN"/>
        </w:rPr>
        <w:t>继续</w:t>
      </w:r>
      <w:r>
        <w:rPr>
          <w:rFonts w:hint="eastAsia" w:ascii="宋体" w:hAnsi="宋体" w:cs="宋体"/>
          <w:kern w:val="0"/>
          <w:sz w:val="28"/>
          <w:szCs w:val="28"/>
        </w:rPr>
        <w:t>履行煤炭供应义务，亦无力偿还</w:t>
      </w:r>
      <w:r>
        <w:rPr>
          <w:rFonts w:hint="eastAsia" w:ascii="宋体" w:hAnsi="宋体" w:cs="宋体"/>
          <w:kern w:val="0"/>
          <w:sz w:val="28"/>
          <w:szCs w:val="28"/>
          <w:lang w:eastAsia="zh-CN"/>
        </w:rPr>
        <w:t>剩余</w:t>
      </w:r>
      <w:r>
        <w:rPr>
          <w:rFonts w:hint="eastAsia" w:ascii="宋体" w:hAnsi="宋体" w:cs="宋体"/>
          <w:kern w:val="0"/>
          <w:sz w:val="28"/>
          <w:szCs w:val="28"/>
        </w:rPr>
        <w:t>煤炭采购预付款，剩余154.98万元预付款形成汉川一发对东升煤销的债权。后汉川一发在清欠过程中发现债务人电煤联合、东升煤销已将上述两笔预付款支付至东升煤业</w:t>
      </w:r>
      <w:r>
        <w:rPr>
          <w:rFonts w:hint="eastAsia" w:ascii="宋体" w:hAnsi="宋体" w:cs="宋体"/>
          <w:kern w:val="0"/>
          <w:sz w:val="28"/>
          <w:szCs w:val="28"/>
          <w:lang w:eastAsia="zh-CN"/>
        </w:rPr>
        <w:t>，</w:t>
      </w:r>
      <w:r>
        <w:rPr>
          <w:rFonts w:hint="eastAsia" w:ascii="宋体" w:hAnsi="宋体" w:cs="宋体"/>
          <w:kern w:val="0"/>
          <w:sz w:val="28"/>
          <w:szCs w:val="28"/>
        </w:rPr>
        <w:t>汉川一发</w:t>
      </w:r>
      <w:r>
        <w:rPr>
          <w:rFonts w:hint="eastAsia" w:ascii="宋体" w:hAnsi="宋体" w:cs="宋体"/>
          <w:kern w:val="0"/>
          <w:sz w:val="28"/>
          <w:szCs w:val="28"/>
          <w:lang w:eastAsia="zh-CN"/>
        </w:rPr>
        <w:t>、</w:t>
      </w:r>
      <w:r>
        <w:rPr>
          <w:rFonts w:hint="eastAsia" w:ascii="宋体" w:hAnsi="宋体" w:cs="宋体"/>
          <w:kern w:val="0"/>
          <w:sz w:val="28"/>
          <w:szCs w:val="28"/>
        </w:rPr>
        <w:t>东升煤业</w:t>
      </w:r>
      <w:r>
        <w:rPr>
          <w:rFonts w:hint="eastAsia" w:ascii="宋体" w:hAnsi="宋体" w:cs="宋体"/>
          <w:kern w:val="0"/>
          <w:sz w:val="28"/>
          <w:szCs w:val="28"/>
          <w:lang w:eastAsia="zh-CN"/>
        </w:rPr>
        <w:t>分别与</w:t>
      </w:r>
      <w:r>
        <w:rPr>
          <w:rFonts w:hint="eastAsia" w:ascii="宋体" w:hAnsi="宋体" w:cs="宋体"/>
          <w:kern w:val="0"/>
          <w:sz w:val="28"/>
          <w:szCs w:val="28"/>
        </w:rPr>
        <w:t>电煤联合、东升煤销签订三方债务转移协议书，2018年当年增加对东升煤业其他应收款354.98万元。截止2018年底，上述应收款项已全额计提坏账准备。</w:t>
      </w:r>
      <w:r>
        <w:rPr>
          <w:rFonts w:hint="eastAsia" w:ascii="宋体" w:hAnsi="宋体" w:cs="宋体"/>
          <w:kern w:val="0"/>
          <w:sz w:val="28"/>
          <w:szCs w:val="28"/>
          <w:lang w:eastAsia="zh-CN"/>
        </w:rPr>
        <w:t>因该</w:t>
      </w:r>
      <w:r>
        <w:rPr>
          <w:rFonts w:hint="eastAsia" w:ascii="宋体" w:hAnsi="宋体" w:cs="宋体"/>
          <w:kern w:val="0"/>
          <w:sz w:val="28"/>
          <w:szCs w:val="28"/>
        </w:rPr>
        <w:t>款项性质为燃煤采购预付款，</w:t>
      </w:r>
      <w:r>
        <w:rPr>
          <w:rFonts w:hint="eastAsia" w:ascii="宋体" w:hAnsi="宋体" w:cs="宋体"/>
          <w:kern w:val="0"/>
          <w:sz w:val="28"/>
          <w:szCs w:val="28"/>
          <w:lang w:eastAsia="zh-CN"/>
        </w:rPr>
        <w:t>故</w:t>
      </w:r>
      <w:r>
        <w:rPr>
          <w:rFonts w:hint="eastAsia" w:ascii="宋体" w:hAnsi="宋体" w:cs="宋体"/>
          <w:kern w:val="0"/>
          <w:sz w:val="28"/>
          <w:szCs w:val="28"/>
        </w:rPr>
        <w:t>不构成对东升煤业的财务资助。</w:t>
      </w:r>
    </w:p>
    <w:p>
      <w:pPr>
        <w:ind w:firstLine="560" w:firstLineChars="200"/>
        <w:contextualSpacing/>
        <w:rPr>
          <w:rFonts w:ascii="宋体" w:hAnsi="宋体" w:cs="宋体"/>
          <w:kern w:val="0"/>
          <w:sz w:val="28"/>
          <w:szCs w:val="28"/>
        </w:rPr>
      </w:pPr>
      <w:r>
        <w:rPr>
          <w:rFonts w:hint="eastAsia" w:ascii="宋体" w:hAnsi="宋体" w:cs="宋体"/>
          <w:kern w:val="0"/>
          <w:sz w:val="28"/>
          <w:szCs w:val="28"/>
        </w:rPr>
        <w:t>2、公司将与多个控股股东及附属企业之间因提供劳务发生的经营性往来，在“其他应收款”科目核算，其主要原因是：公司的主营业务为电力及热力销售，由于委托管理业务非公司主营业务，故在会计核算时，将取得的收入计入“其他业务收入”科目，将应收取的款项同时计入“其他应收款”科目。具体情况如下：</w:t>
      </w:r>
    </w:p>
    <w:tbl>
      <w:tblPr>
        <w:tblStyle w:val="10"/>
        <w:tblW w:w="9089" w:type="dxa"/>
        <w:tblInd w:w="-250" w:type="dxa"/>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48"/>
        <w:gridCol w:w="1509"/>
        <w:gridCol w:w="1140"/>
        <w:gridCol w:w="619"/>
        <w:gridCol w:w="1027"/>
        <w:gridCol w:w="826"/>
        <w:gridCol w:w="825"/>
        <w:gridCol w:w="1095"/>
      </w:tblGrid>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469" w:hRule="atLeast"/>
        </w:trPr>
        <w:tc>
          <w:tcPr>
            <w:tcW w:w="2048" w:type="dxa"/>
            <w:shd w:val="clear" w:color="auto" w:fill="auto"/>
            <w:vAlign w:val="center"/>
          </w:tcPr>
          <w:p>
            <w:pPr>
              <w:widowControl/>
              <w:jc w:val="center"/>
              <w:rPr>
                <w:rFonts w:ascii="Arial" w:hAnsi="Arial" w:cs="Arial"/>
                <w:b/>
                <w:bCs/>
                <w:kern w:val="0"/>
                <w:sz w:val="16"/>
                <w:szCs w:val="16"/>
              </w:rPr>
            </w:pPr>
            <w:r>
              <w:rPr>
                <w:rFonts w:hint="eastAsia" w:ascii="宋体" w:hAnsi="宋体" w:cs="Arial"/>
                <w:b/>
                <w:bCs/>
                <w:kern w:val="0"/>
                <w:sz w:val="16"/>
                <w:szCs w:val="16"/>
              </w:rPr>
              <w:t>资金往来方名称</w:t>
            </w:r>
          </w:p>
        </w:tc>
        <w:tc>
          <w:tcPr>
            <w:tcW w:w="1509" w:type="dxa"/>
            <w:shd w:val="clear" w:color="auto" w:fill="auto"/>
            <w:vAlign w:val="center"/>
          </w:tcPr>
          <w:p>
            <w:pPr>
              <w:widowControl/>
              <w:jc w:val="center"/>
              <w:rPr>
                <w:rFonts w:ascii="Arial" w:hAnsi="Arial" w:cs="Arial"/>
                <w:b/>
                <w:bCs/>
                <w:kern w:val="0"/>
                <w:sz w:val="16"/>
                <w:szCs w:val="16"/>
              </w:rPr>
            </w:pPr>
            <w:r>
              <w:rPr>
                <w:rFonts w:hint="eastAsia" w:ascii="宋体" w:hAnsi="宋体" w:cs="Arial"/>
                <w:b/>
                <w:bCs/>
                <w:kern w:val="0"/>
                <w:sz w:val="16"/>
                <w:szCs w:val="16"/>
              </w:rPr>
              <w:t>往来方与上市公司的关联关系</w:t>
            </w:r>
          </w:p>
        </w:tc>
        <w:tc>
          <w:tcPr>
            <w:tcW w:w="1140" w:type="dxa"/>
            <w:shd w:val="clear" w:color="auto" w:fill="auto"/>
            <w:vAlign w:val="center"/>
          </w:tcPr>
          <w:p>
            <w:pPr>
              <w:widowControl/>
              <w:jc w:val="center"/>
              <w:rPr>
                <w:rFonts w:ascii="Arial" w:hAnsi="Arial" w:cs="Arial"/>
                <w:b/>
                <w:bCs/>
                <w:kern w:val="0"/>
                <w:sz w:val="16"/>
                <w:szCs w:val="16"/>
              </w:rPr>
            </w:pPr>
            <w:r>
              <w:rPr>
                <w:rFonts w:hint="eastAsia" w:ascii="宋体" w:hAnsi="宋体" w:cs="Arial"/>
                <w:b/>
                <w:bCs/>
                <w:kern w:val="0"/>
                <w:sz w:val="16"/>
                <w:szCs w:val="16"/>
              </w:rPr>
              <w:t>上市公司核算的会计科目</w:t>
            </w:r>
          </w:p>
        </w:tc>
        <w:tc>
          <w:tcPr>
            <w:tcW w:w="619" w:type="dxa"/>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2018年初往来资金余额</w:t>
            </w:r>
          </w:p>
        </w:tc>
        <w:tc>
          <w:tcPr>
            <w:tcW w:w="1027" w:type="dxa"/>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2018年度往来累计发生金额（不含利息）</w:t>
            </w:r>
          </w:p>
        </w:tc>
        <w:tc>
          <w:tcPr>
            <w:tcW w:w="826" w:type="dxa"/>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2018年度偿还累计发生额</w:t>
            </w:r>
          </w:p>
        </w:tc>
        <w:tc>
          <w:tcPr>
            <w:tcW w:w="825" w:type="dxa"/>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2018年末往来资金余额</w:t>
            </w:r>
          </w:p>
        </w:tc>
        <w:tc>
          <w:tcPr>
            <w:tcW w:w="1095" w:type="dxa"/>
            <w:shd w:val="clear" w:color="auto" w:fill="auto"/>
            <w:vAlign w:val="center"/>
          </w:tcPr>
          <w:p>
            <w:pPr>
              <w:widowControl/>
              <w:jc w:val="center"/>
              <w:rPr>
                <w:rFonts w:ascii="Arial" w:hAnsi="Arial" w:cs="Arial"/>
                <w:b/>
                <w:bCs/>
                <w:kern w:val="0"/>
                <w:sz w:val="16"/>
                <w:szCs w:val="16"/>
              </w:rPr>
            </w:pPr>
            <w:r>
              <w:rPr>
                <w:rFonts w:hint="eastAsia" w:ascii="宋体" w:hAnsi="宋体" w:cs="Arial"/>
                <w:b/>
                <w:bCs/>
                <w:kern w:val="0"/>
                <w:sz w:val="16"/>
                <w:szCs w:val="16"/>
              </w:rPr>
              <w:t>占用形成原因</w:t>
            </w:r>
          </w:p>
        </w:tc>
      </w:tr>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81" w:hRule="atLeast"/>
        </w:trPr>
        <w:tc>
          <w:tcPr>
            <w:tcW w:w="2048" w:type="dxa"/>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国电武汉燃料有限公司 </w:t>
            </w:r>
          </w:p>
        </w:tc>
        <w:tc>
          <w:tcPr>
            <w:tcW w:w="1509"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 xml:space="preserve"> 同受最终控制方控制 </w:t>
            </w:r>
          </w:p>
        </w:tc>
        <w:tc>
          <w:tcPr>
            <w:tcW w:w="1140"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其他应收款</w:t>
            </w:r>
          </w:p>
        </w:tc>
        <w:tc>
          <w:tcPr>
            <w:tcW w:w="619" w:type="dxa"/>
            <w:shd w:val="clear" w:color="auto" w:fill="auto"/>
            <w:vAlign w:val="center"/>
          </w:tcPr>
          <w:p>
            <w:pPr>
              <w:widowControl/>
              <w:jc w:val="right"/>
              <w:rPr>
                <w:rFonts w:ascii="Arial" w:hAnsi="Arial" w:cs="Arial"/>
                <w:kern w:val="0"/>
                <w:sz w:val="16"/>
                <w:szCs w:val="16"/>
              </w:rPr>
            </w:pPr>
          </w:p>
        </w:tc>
        <w:tc>
          <w:tcPr>
            <w:tcW w:w="1027"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551.42</w:t>
            </w:r>
          </w:p>
        </w:tc>
        <w:tc>
          <w:tcPr>
            <w:tcW w:w="826" w:type="dxa"/>
            <w:shd w:val="clear" w:color="auto" w:fill="auto"/>
            <w:vAlign w:val="center"/>
          </w:tcPr>
          <w:p>
            <w:pPr>
              <w:widowControl/>
              <w:jc w:val="right"/>
              <w:rPr>
                <w:rFonts w:ascii="宋体" w:hAnsi="宋体" w:cs="宋体"/>
                <w:color w:val="000000"/>
                <w:kern w:val="0"/>
                <w:sz w:val="16"/>
                <w:szCs w:val="16"/>
              </w:rPr>
            </w:pPr>
          </w:p>
        </w:tc>
        <w:tc>
          <w:tcPr>
            <w:tcW w:w="825"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551.42</w:t>
            </w:r>
          </w:p>
        </w:tc>
        <w:tc>
          <w:tcPr>
            <w:tcW w:w="1095" w:type="dxa"/>
            <w:shd w:val="clear" w:color="auto" w:fill="auto"/>
            <w:vAlign w:val="center"/>
          </w:tcPr>
          <w:p>
            <w:pPr>
              <w:widowControl/>
              <w:jc w:val="left"/>
              <w:rPr>
                <w:rFonts w:ascii="Arial" w:hAnsi="Arial" w:cs="Arial"/>
                <w:kern w:val="0"/>
                <w:sz w:val="16"/>
                <w:szCs w:val="16"/>
              </w:rPr>
            </w:pPr>
            <w:r>
              <w:rPr>
                <w:rFonts w:ascii="Arial" w:hAnsi="Arial" w:cs="Arial"/>
                <w:kern w:val="0"/>
                <w:sz w:val="16"/>
                <w:szCs w:val="16"/>
              </w:rPr>
              <w:t xml:space="preserve"> 提供劳务 </w:t>
            </w:r>
          </w:p>
        </w:tc>
      </w:tr>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81" w:hRule="atLeast"/>
        </w:trPr>
        <w:tc>
          <w:tcPr>
            <w:tcW w:w="2048" w:type="dxa"/>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国电青山热电有限公司 </w:t>
            </w:r>
          </w:p>
        </w:tc>
        <w:tc>
          <w:tcPr>
            <w:tcW w:w="1509"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 xml:space="preserve"> 控股股东附属企业 </w:t>
            </w:r>
          </w:p>
        </w:tc>
        <w:tc>
          <w:tcPr>
            <w:tcW w:w="1140"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其他应收款</w:t>
            </w:r>
          </w:p>
        </w:tc>
        <w:tc>
          <w:tcPr>
            <w:tcW w:w="619" w:type="dxa"/>
            <w:shd w:val="clear" w:color="auto" w:fill="auto"/>
            <w:vAlign w:val="center"/>
          </w:tcPr>
          <w:p>
            <w:pPr>
              <w:widowControl/>
              <w:jc w:val="right"/>
              <w:rPr>
                <w:rFonts w:ascii="Arial" w:hAnsi="Arial" w:cs="Arial"/>
                <w:kern w:val="0"/>
                <w:sz w:val="16"/>
                <w:szCs w:val="16"/>
              </w:rPr>
            </w:pPr>
          </w:p>
        </w:tc>
        <w:tc>
          <w:tcPr>
            <w:tcW w:w="1027"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235.98</w:t>
            </w:r>
          </w:p>
        </w:tc>
        <w:tc>
          <w:tcPr>
            <w:tcW w:w="826"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235.98</w:t>
            </w:r>
          </w:p>
        </w:tc>
        <w:tc>
          <w:tcPr>
            <w:tcW w:w="825" w:type="dxa"/>
            <w:shd w:val="clear" w:color="auto" w:fill="auto"/>
            <w:vAlign w:val="center"/>
          </w:tcPr>
          <w:p>
            <w:pPr>
              <w:widowControl/>
              <w:jc w:val="right"/>
              <w:rPr>
                <w:rFonts w:ascii="Arial" w:hAnsi="Arial" w:cs="Arial"/>
                <w:kern w:val="0"/>
                <w:sz w:val="16"/>
                <w:szCs w:val="16"/>
              </w:rPr>
            </w:pPr>
          </w:p>
        </w:tc>
        <w:tc>
          <w:tcPr>
            <w:tcW w:w="1095" w:type="dxa"/>
            <w:shd w:val="clear" w:color="auto" w:fill="auto"/>
            <w:vAlign w:val="center"/>
          </w:tcPr>
          <w:p>
            <w:pPr>
              <w:widowControl/>
              <w:jc w:val="left"/>
              <w:rPr>
                <w:rFonts w:ascii="Arial" w:hAnsi="Arial" w:cs="Arial"/>
                <w:kern w:val="0"/>
                <w:sz w:val="16"/>
                <w:szCs w:val="16"/>
              </w:rPr>
            </w:pPr>
            <w:r>
              <w:rPr>
                <w:rFonts w:ascii="Arial" w:hAnsi="Arial" w:cs="Arial"/>
                <w:kern w:val="0"/>
                <w:sz w:val="16"/>
                <w:szCs w:val="16"/>
              </w:rPr>
              <w:t xml:space="preserve"> 提供劳务 </w:t>
            </w:r>
          </w:p>
        </w:tc>
      </w:tr>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81" w:hRule="atLeast"/>
        </w:trPr>
        <w:tc>
          <w:tcPr>
            <w:tcW w:w="2048" w:type="dxa"/>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国电竹溪水电开发有限公司 </w:t>
            </w:r>
          </w:p>
        </w:tc>
        <w:tc>
          <w:tcPr>
            <w:tcW w:w="1509"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 xml:space="preserve"> 控股股东附属企业 </w:t>
            </w:r>
          </w:p>
        </w:tc>
        <w:tc>
          <w:tcPr>
            <w:tcW w:w="1140"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其他应收款</w:t>
            </w:r>
          </w:p>
        </w:tc>
        <w:tc>
          <w:tcPr>
            <w:tcW w:w="619" w:type="dxa"/>
            <w:shd w:val="clear" w:color="auto" w:fill="auto"/>
            <w:vAlign w:val="center"/>
          </w:tcPr>
          <w:p>
            <w:pPr>
              <w:widowControl/>
              <w:jc w:val="right"/>
              <w:rPr>
                <w:rFonts w:ascii="Arial" w:hAnsi="Arial" w:cs="Arial"/>
                <w:kern w:val="0"/>
                <w:sz w:val="16"/>
                <w:szCs w:val="16"/>
              </w:rPr>
            </w:pPr>
          </w:p>
        </w:tc>
        <w:tc>
          <w:tcPr>
            <w:tcW w:w="1027"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29.67</w:t>
            </w:r>
          </w:p>
        </w:tc>
        <w:tc>
          <w:tcPr>
            <w:tcW w:w="826"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29.67</w:t>
            </w:r>
          </w:p>
        </w:tc>
        <w:tc>
          <w:tcPr>
            <w:tcW w:w="825" w:type="dxa"/>
            <w:shd w:val="clear" w:color="auto" w:fill="auto"/>
            <w:vAlign w:val="center"/>
          </w:tcPr>
          <w:p>
            <w:pPr>
              <w:widowControl/>
              <w:jc w:val="right"/>
              <w:rPr>
                <w:rFonts w:ascii="Arial" w:hAnsi="Arial" w:cs="Arial"/>
                <w:kern w:val="0"/>
                <w:sz w:val="16"/>
                <w:szCs w:val="16"/>
              </w:rPr>
            </w:pPr>
          </w:p>
        </w:tc>
        <w:tc>
          <w:tcPr>
            <w:tcW w:w="1095" w:type="dxa"/>
            <w:shd w:val="clear" w:color="auto" w:fill="auto"/>
            <w:vAlign w:val="center"/>
          </w:tcPr>
          <w:p>
            <w:pPr>
              <w:widowControl/>
              <w:jc w:val="left"/>
              <w:rPr>
                <w:rFonts w:ascii="Arial" w:hAnsi="Arial" w:cs="Arial"/>
                <w:kern w:val="0"/>
                <w:sz w:val="16"/>
                <w:szCs w:val="16"/>
              </w:rPr>
            </w:pPr>
            <w:r>
              <w:rPr>
                <w:rFonts w:ascii="Arial" w:hAnsi="Arial" w:cs="Arial"/>
                <w:kern w:val="0"/>
                <w:sz w:val="16"/>
                <w:szCs w:val="16"/>
              </w:rPr>
              <w:t xml:space="preserve"> 提供劳务 </w:t>
            </w:r>
          </w:p>
        </w:tc>
      </w:tr>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81" w:hRule="atLeast"/>
        </w:trPr>
        <w:tc>
          <w:tcPr>
            <w:tcW w:w="2048" w:type="dxa"/>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国电汉川发电有限公司 </w:t>
            </w:r>
          </w:p>
        </w:tc>
        <w:tc>
          <w:tcPr>
            <w:tcW w:w="1509"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 xml:space="preserve"> 控股股东附属企业 </w:t>
            </w:r>
          </w:p>
        </w:tc>
        <w:tc>
          <w:tcPr>
            <w:tcW w:w="1140"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其他应收款</w:t>
            </w:r>
          </w:p>
        </w:tc>
        <w:tc>
          <w:tcPr>
            <w:tcW w:w="619" w:type="dxa"/>
            <w:shd w:val="clear" w:color="auto" w:fill="auto"/>
            <w:vAlign w:val="center"/>
          </w:tcPr>
          <w:p>
            <w:pPr>
              <w:widowControl/>
              <w:jc w:val="right"/>
              <w:rPr>
                <w:rFonts w:ascii="Arial" w:hAnsi="Arial" w:cs="Arial"/>
                <w:kern w:val="0"/>
                <w:sz w:val="16"/>
                <w:szCs w:val="16"/>
              </w:rPr>
            </w:pPr>
          </w:p>
        </w:tc>
        <w:tc>
          <w:tcPr>
            <w:tcW w:w="1027"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674.23</w:t>
            </w:r>
          </w:p>
        </w:tc>
        <w:tc>
          <w:tcPr>
            <w:tcW w:w="826"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674.23</w:t>
            </w:r>
          </w:p>
        </w:tc>
        <w:tc>
          <w:tcPr>
            <w:tcW w:w="825" w:type="dxa"/>
            <w:shd w:val="clear" w:color="auto" w:fill="auto"/>
            <w:vAlign w:val="center"/>
          </w:tcPr>
          <w:p>
            <w:pPr>
              <w:widowControl/>
              <w:jc w:val="right"/>
              <w:rPr>
                <w:rFonts w:ascii="Arial" w:hAnsi="Arial" w:cs="Arial"/>
                <w:kern w:val="0"/>
                <w:sz w:val="16"/>
                <w:szCs w:val="16"/>
              </w:rPr>
            </w:pPr>
          </w:p>
        </w:tc>
        <w:tc>
          <w:tcPr>
            <w:tcW w:w="1095" w:type="dxa"/>
            <w:shd w:val="clear" w:color="auto" w:fill="auto"/>
            <w:vAlign w:val="center"/>
          </w:tcPr>
          <w:p>
            <w:pPr>
              <w:widowControl/>
              <w:jc w:val="left"/>
              <w:rPr>
                <w:rFonts w:ascii="Arial" w:hAnsi="Arial" w:cs="Arial"/>
                <w:kern w:val="0"/>
                <w:sz w:val="16"/>
                <w:szCs w:val="16"/>
              </w:rPr>
            </w:pPr>
            <w:r>
              <w:rPr>
                <w:rFonts w:ascii="Arial" w:hAnsi="Arial" w:cs="Arial"/>
                <w:kern w:val="0"/>
                <w:sz w:val="16"/>
                <w:szCs w:val="16"/>
              </w:rPr>
              <w:t xml:space="preserve"> 提供劳务 </w:t>
            </w:r>
          </w:p>
        </w:tc>
      </w:tr>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81" w:hRule="atLeast"/>
        </w:trPr>
        <w:tc>
          <w:tcPr>
            <w:tcW w:w="2048" w:type="dxa"/>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国电湖北电力有限公司鄂坪水电厂 </w:t>
            </w:r>
          </w:p>
        </w:tc>
        <w:tc>
          <w:tcPr>
            <w:tcW w:w="1509"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 xml:space="preserve"> 控股股东附属企业 </w:t>
            </w:r>
          </w:p>
        </w:tc>
        <w:tc>
          <w:tcPr>
            <w:tcW w:w="1140"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其他应收款</w:t>
            </w:r>
          </w:p>
        </w:tc>
        <w:tc>
          <w:tcPr>
            <w:tcW w:w="619" w:type="dxa"/>
            <w:shd w:val="clear" w:color="auto" w:fill="auto"/>
            <w:vAlign w:val="center"/>
          </w:tcPr>
          <w:p>
            <w:pPr>
              <w:widowControl/>
              <w:jc w:val="right"/>
              <w:rPr>
                <w:rFonts w:ascii="Arial" w:hAnsi="Arial" w:cs="Arial"/>
                <w:kern w:val="0"/>
                <w:sz w:val="16"/>
                <w:szCs w:val="16"/>
              </w:rPr>
            </w:pPr>
          </w:p>
        </w:tc>
        <w:tc>
          <w:tcPr>
            <w:tcW w:w="1027"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38.43</w:t>
            </w:r>
          </w:p>
        </w:tc>
        <w:tc>
          <w:tcPr>
            <w:tcW w:w="826"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38.43</w:t>
            </w:r>
          </w:p>
        </w:tc>
        <w:tc>
          <w:tcPr>
            <w:tcW w:w="825" w:type="dxa"/>
            <w:shd w:val="clear" w:color="auto" w:fill="auto"/>
            <w:vAlign w:val="center"/>
          </w:tcPr>
          <w:p>
            <w:pPr>
              <w:widowControl/>
              <w:jc w:val="right"/>
              <w:rPr>
                <w:rFonts w:ascii="Arial" w:hAnsi="Arial" w:cs="Arial"/>
                <w:kern w:val="0"/>
                <w:sz w:val="16"/>
                <w:szCs w:val="16"/>
              </w:rPr>
            </w:pPr>
          </w:p>
        </w:tc>
        <w:tc>
          <w:tcPr>
            <w:tcW w:w="1095" w:type="dxa"/>
            <w:shd w:val="clear" w:color="auto" w:fill="auto"/>
            <w:vAlign w:val="center"/>
          </w:tcPr>
          <w:p>
            <w:pPr>
              <w:widowControl/>
              <w:jc w:val="left"/>
              <w:rPr>
                <w:rFonts w:ascii="Arial" w:hAnsi="Arial" w:cs="Arial"/>
                <w:kern w:val="0"/>
                <w:sz w:val="16"/>
                <w:szCs w:val="16"/>
              </w:rPr>
            </w:pPr>
            <w:r>
              <w:rPr>
                <w:rFonts w:ascii="Arial" w:hAnsi="Arial" w:cs="Arial"/>
                <w:kern w:val="0"/>
                <w:sz w:val="16"/>
                <w:szCs w:val="16"/>
              </w:rPr>
              <w:t xml:space="preserve"> 提供劳务 </w:t>
            </w:r>
          </w:p>
        </w:tc>
      </w:tr>
      <w:tr>
        <w:tblPrEx>
          <w:tblBorders>
            <w:top w:val="single" w:color="auto" w:sz="18" w:space="0"/>
            <w:left w:val="none" w:color="auto" w:sz="0" w:space="0"/>
            <w:bottom w:val="single" w:color="auto" w:sz="1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22" w:hRule="atLeast"/>
        </w:trPr>
        <w:tc>
          <w:tcPr>
            <w:tcW w:w="2048" w:type="dxa"/>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国电恩施水电开发有限公司 </w:t>
            </w:r>
          </w:p>
        </w:tc>
        <w:tc>
          <w:tcPr>
            <w:tcW w:w="1509"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 xml:space="preserve"> 控股股东附属企业 </w:t>
            </w:r>
          </w:p>
        </w:tc>
        <w:tc>
          <w:tcPr>
            <w:tcW w:w="1140" w:type="dxa"/>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其他应收款</w:t>
            </w:r>
          </w:p>
        </w:tc>
        <w:tc>
          <w:tcPr>
            <w:tcW w:w="619" w:type="dxa"/>
            <w:shd w:val="clear" w:color="auto" w:fill="auto"/>
            <w:vAlign w:val="center"/>
          </w:tcPr>
          <w:p>
            <w:pPr>
              <w:widowControl/>
              <w:jc w:val="right"/>
              <w:rPr>
                <w:rFonts w:ascii="Arial" w:hAnsi="Arial" w:cs="Arial"/>
                <w:kern w:val="0"/>
                <w:sz w:val="16"/>
                <w:szCs w:val="16"/>
              </w:rPr>
            </w:pPr>
          </w:p>
        </w:tc>
        <w:tc>
          <w:tcPr>
            <w:tcW w:w="1027"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187.70</w:t>
            </w:r>
          </w:p>
        </w:tc>
        <w:tc>
          <w:tcPr>
            <w:tcW w:w="826" w:type="dxa"/>
            <w:shd w:val="clear" w:color="auto" w:fill="auto"/>
            <w:vAlign w:val="center"/>
          </w:tcPr>
          <w:p>
            <w:pPr>
              <w:widowControl/>
              <w:jc w:val="right"/>
              <w:rPr>
                <w:rFonts w:ascii="Arial" w:hAnsi="Arial" w:cs="Arial"/>
                <w:kern w:val="0"/>
                <w:sz w:val="16"/>
                <w:szCs w:val="16"/>
              </w:rPr>
            </w:pPr>
            <w:r>
              <w:rPr>
                <w:rFonts w:ascii="Arial" w:hAnsi="Arial" w:cs="Arial"/>
                <w:kern w:val="0"/>
                <w:sz w:val="16"/>
                <w:szCs w:val="16"/>
              </w:rPr>
              <w:t>187.70</w:t>
            </w:r>
          </w:p>
        </w:tc>
        <w:tc>
          <w:tcPr>
            <w:tcW w:w="825" w:type="dxa"/>
            <w:shd w:val="clear" w:color="auto" w:fill="auto"/>
            <w:vAlign w:val="center"/>
          </w:tcPr>
          <w:p>
            <w:pPr>
              <w:widowControl/>
              <w:jc w:val="right"/>
              <w:rPr>
                <w:rFonts w:ascii="Arial" w:hAnsi="Arial" w:cs="Arial"/>
                <w:kern w:val="0"/>
                <w:sz w:val="16"/>
                <w:szCs w:val="16"/>
              </w:rPr>
            </w:pPr>
          </w:p>
        </w:tc>
        <w:tc>
          <w:tcPr>
            <w:tcW w:w="1095" w:type="dxa"/>
            <w:shd w:val="clear" w:color="auto" w:fill="auto"/>
            <w:vAlign w:val="center"/>
          </w:tcPr>
          <w:p>
            <w:pPr>
              <w:widowControl/>
              <w:jc w:val="left"/>
              <w:rPr>
                <w:rFonts w:ascii="Arial" w:hAnsi="Arial" w:cs="Arial"/>
                <w:kern w:val="0"/>
                <w:sz w:val="16"/>
                <w:szCs w:val="16"/>
              </w:rPr>
            </w:pPr>
            <w:r>
              <w:rPr>
                <w:rFonts w:ascii="Arial" w:hAnsi="Arial" w:cs="Arial"/>
                <w:kern w:val="0"/>
                <w:sz w:val="16"/>
                <w:szCs w:val="16"/>
              </w:rPr>
              <w:t xml:space="preserve"> 提供劳务 </w:t>
            </w:r>
          </w:p>
        </w:tc>
      </w:tr>
    </w:tbl>
    <w:p>
      <w:pPr>
        <w:ind w:firstLine="560" w:firstLineChars="200"/>
        <w:contextualSpacing/>
        <w:rPr>
          <w:rFonts w:ascii="宋体" w:hAnsi="宋体" w:cs="宋体"/>
          <w:kern w:val="0"/>
          <w:sz w:val="28"/>
          <w:szCs w:val="28"/>
        </w:rPr>
      </w:pPr>
      <w:r>
        <w:rPr>
          <w:rFonts w:hint="eastAsia" w:ascii="宋体" w:hAnsi="宋体" w:cs="宋体"/>
          <w:kern w:val="0"/>
          <w:sz w:val="28"/>
          <w:szCs w:val="28"/>
        </w:rPr>
        <w:t>其中国电武汉燃料有限公司其他应收款551.42万元，为</w:t>
      </w:r>
      <w:r>
        <w:rPr>
          <w:rFonts w:hint="eastAsia" w:ascii="宋体" w:hAnsi="宋体" w:cs="宋体"/>
          <w:kern w:val="0"/>
          <w:sz w:val="28"/>
          <w:szCs w:val="28"/>
          <w:lang w:eastAsia="zh-CN"/>
        </w:rPr>
        <w:t>公司全资子公司</w:t>
      </w:r>
      <w:r>
        <w:rPr>
          <w:rFonts w:hint="eastAsia" w:ascii="宋体" w:hAnsi="宋体" w:cs="宋体"/>
          <w:kern w:val="0"/>
          <w:sz w:val="28"/>
          <w:szCs w:val="28"/>
        </w:rPr>
        <w:t>国电长源荆州热电有限公司受托管理武汉燃料公司的沙市码头，由此产生的委托管理费；国电青山热电有限公司、国电竹溪水电开发有限公司等五家企业其他应收款合计1,166.00万元，为公司受国电集团委托，对上述公司提供委托管理服务</w:t>
      </w:r>
      <w:r>
        <w:rPr>
          <w:rFonts w:hint="eastAsia" w:ascii="宋体" w:hAnsi="宋体" w:cs="宋体"/>
          <w:kern w:val="0"/>
          <w:sz w:val="28"/>
          <w:szCs w:val="28"/>
          <w:lang w:eastAsia="zh-CN"/>
        </w:rPr>
        <w:t>，</w:t>
      </w:r>
      <w:r>
        <w:rPr>
          <w:rFonts w:hint="eastAsia" w:ascii="宋体" w:hAnsi="宋体" w:cs="宋体"/>
          <w:kern w:val="0"/>
          <w:sz w:val="28"/>
          <w:szCs w:val="28"/>
        </w:rPr>
        <w:t>由此产生的委托管理费。报告期末，相关各方未对公司形成非经营性资金占用。</w:t>
      </w:r>
    </w:p>
    <w:p>
      <w:pPr>
        <w:ind w:firstLine="562" w:firstLineChars="200"/>
        <w:contextualSpacing/>
        <w:rPr>
          <w:rFonts w:ascii="宋体" w:hAnsi="宋体" w:cs="仿宋_GB2312-WinCharSetFFFF-H"/>
          <w:b/>
          <w:kern w:val="0"/>
          <w:sz w:val="28"/>
          <w:szCs w:val="28"/>
        </w:rPr>
      </w:pPr>
      <w:r>
        <w:rPr>
          <w:rFonts w:hint="eastAsia" w:ascii="宋体" w:hAnsi="宋体" w:cs="仿宋_GB2312-WinCharSetFFFF-H"/>
          <w:b/>
          <w:kern w:val="0"/>
          <w:sz w:val="28"/>
          <w:szCs w:val="28"/>
        </w:rPr>
        <w:t>二、</w:t>
      </w:r>
      <w:r>
        <w:rPr>
          <w:rFonts w:hint="eastAsia" w:eastAsia="方正仿宋简体" w:cs="宋体"/>
          <w:kern w:val="0"/>
          <w:sz w:val="28"/>
          <w:szCs w:val="28"/>
        </w:rPr>
        <w:t>年报显示，你公司报告期末其他应收款——单位间往来款余额为</w:t>
      </w:r>
      <w:r>
        <w:rPr>
          <w:rFonts w:eastAsia="方正仿宋简体" w:cs="宋体"/>
          <w:kern w:val="0"/>
          <w:sz w:val="28"/>
          <w:szCs w:val="28"/>
        </w:rPr>
        <w:t>1.07</w:t>
      </w:r>
      <w:r>
        <w:rPr>
          <w:rFonts w:hint="eastAsia" w:eastAsia="方正仿宋简体" w:cs="宋体"/>
          <w:kern w:val="0"/>
          <w:sz w:val="28"/>
          <w:szCs w:val="28"/>
        </w:rPr>
        <w:t>亿元。请详细说明单位往来款的具体构成、性质、账龄、相关单位是否为关联方，是否存在非经营性资金占用情形。</w:t>
      </w:r>
    </w:p>
    <w:p>
      <w:pPr>
        <w:topLinePunct/>
        <w:ind w:firstLine="480"/>
        <w:contextualSpacing/>
        <w:jc w:val="left"/>
        <w:rPr>
          <w:rFonts w:ascii="宋体" w:hAnsi="宋体"/>
          <w:sz w:val="28"/>
          <w:szCs w:val="28"/>
        </w:rPr>
      </w:pPr>
      <w:r>
        <w:rPr>
          <w:rFonts w:hint="eastAsia" w:ascii="宋体" w:hAnsi="宋体"/>
          <w:sz w:val="28"/>
          <w:szCs w:val="28"/>
        </w:rPr>
        <w:t>答：报告期末，公司其他应收款——单位间往来款余额为 1.07 亿元，性质主要为预付煤款、预付材料款等，不存在非经营性资金占用的情形。具体明细如下：</w:t>
      </w:r>
    </w:p>
    <w:p>
      <w:pPr>
        <w:rPr>
          <w:rFonts w:ascii="宋体" w:hAnsi="宋体"/>
          <w:sz w:val="28"/>
          <w:szCs w:val="28"/>
        </w:rPr>
        <w:sectPr>
          <w:footerReference r:id="rId3" w:type="default"/>
          <w:pgSz w:w="11906" w:h="16838"/>
          <w:pgMar w:top="1020" w:right="1418" w:bottom="964" w:left="1418" w:header="851" w:footer="567" w:gutter="0"/>
          <w:cols w:space="425" w:num="1"/>
          <w:docGrid w:type="lines" w:linePitch="312" w:charSpace="0"/>
        </w:sectPr>
      </w:pPr>
      <w:r>
        <w:rPr>
          <w:rFonts w:hint="eastAsia" w:ascii="宋体" w:hAnsi="宋体"/>
          <w:sz w:val="28"/>
          <w:szCs w:val="28"/>
        </w:rPr>
        <w:br w:type="page"/>
      </w:r>
    </w:p>
    <w:p>
      <w:pPr>
        <w:topLinePunct/>
        <w:ind w:firstLine="480"/>
        <w:contextualSpacing/>
        <w:jc w:val="left"/>
        <w:rPr>
          <w:rFonts w:ascii="宋体" w:hAnsi="宋体"/>
          <w:sz w:val="28"/>
          <w:szCs w:val="28"/>
        </w:rPr>
      </w:pPr>
    </w:p>
    <w:tbl>
      <w:tblPr>
        <w:tblStyle w:val="10"/>
        <w:tblW w:w="14220" w:type="dxa"/>
        <w:tblInd w:w="-369"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30"/>
        <w:gridCol w:w="2256"/>
        <w:gridCol w:w="1757"/>
        <w:gridCol w:w="1694"/>
        <w:gridCol w:w="1513"/>
        <w:gridCol w:w="1650"/>
        <w:gridCol w:w="1706"/>
        <w:gridCol w:w="842"/>
        <w:gridCol w:w="22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blHeader/>
        </w:trPr>
        <w:tc>
          <w:tcPr>
            <w:tcW w:w="14220" w:type="dxa"/>
            <w:gridSpan w:val="9"/>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2018年末其他应收款-单位间往来主要明细构成</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45" w:hRule="atLeast"/>
          <w:tblHeader/>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225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单位名称全称</w:t>
            </w:r>
          </w:p>
        </w:tc>
        <w:tc>
          <w:tcPr>
            <w:tcW w:w="1757"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金额</w:t>
            </w:r>
          </w:p>
        </w:tc>
        <w:tc>
          <w:tcPr>
            <w:tcW w:w="169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计提坏账金额</w:t>
            </w:r>
          </w:p>
        </w:tc>
        <w:tc>
          <w:tcPr>
            <w:tcW w:w="1513"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账面价值</w:t>
            </w:r>
          </w:p>
        </w:tc>
        <w:tc>
          <w:tcPr>
            <w:tcW w:w="165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坏账计提方法</w:t>
            </w:r>
          </w:p>
        </w:tc>
        <w:tc>
          <w:tcPr>
            <w:tcW w:w="170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款项性质</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是否关联方</w:t>
            </w:r>
          </w:p>
        </w:tc>
        <w:tc>
          <w:tcPr>
            <w:tcW w:w="227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账龄</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5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郑煤集团裴沟一一井</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29,853,800.00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29,853,800.00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45"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225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郑州煤炭工业（集团）腾升煤矿有限责任公司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25,390,789.00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25,390,789.00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225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登封市白坪乡缸沟二煤矿</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7,434,522.23</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7,434,522.23</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个别认定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65,551.00元4-5年，其他5年以上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22"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25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新郑集运站</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7,318,389.62</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7,318,389.62</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河南东升煤业有限公司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5,000,000.00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5,000,000.00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个别认定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河南东升煤业有限公司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3,549,800.00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3,549,800.00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个别认定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2256"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河南东升煤业有限公司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1,000,000.00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1,000,000.00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ind w:firstLine="220" w:firstLineChars="100"/>
              <w:rPr>
                <w:rFonts w:ascii="宋体" w:hAnsi="宋体" w:cs="宋体"/>
                <w:color w:val="000000"/>
                <w:kern w:val="0"/>
                <w:sz w:val="22"/>
              </w:rPr>
            </w:pPr>
            <w:r>
              <w:rPr>
                <w:rFonts w:hint="eastAsia" w:ascii="宋体" w:hAnsi="宋体" w:cs="宋体"/>
                <w:color w:val="000000"/>
                <w:kern w:val="0"/>
                <w:sz w:val="22"/>
              </w:rPr>
              <w:t xml:space="preserve"> 个别认定</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预付煤款</w:t>
            </w:r>
          </w:p>
        </w:tc>
        <w:tc>
          <w:tcPr>
            <w:tcW w:w="842" w:type="dxa"/>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45"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2256"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河南东升煤业有限公司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6,300,000.00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6,300,000.00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ind w:firstLine="220" w:firstLineChars="100"/>
              <w:rPr>
                <w:rFonts w:ascii="宋体" w:hAnsi="宋体" w:cs="宋体"/>
                <w:color w:val="000000"/>
                <w:kern w:val="0"/>
                <w:sz w:val="22"/>
              </w:rPr>
            </w:pPr>
            <w:r>
              <w:rPr>
                <w:rFonts w:hint="eastAsia" w:ascii="宋体" w:hAnsi="宋体" w:cs="宋体"/>
                <w:color w:val="000000"/>
                <w:kern w:val="0"/>
                <w:sz w:val="22"/>
              </w:rPr>
              <w:t>个别认定</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借款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40万3-4年；40万4-5年；其他5年以上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国电武汉燃料有限公司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5,514,180.78</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5,514,180.78</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无回收风险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提供劳务</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22" w:hRule="atLeast"/>
        </w:trPr>
        <w:tc>
          <w:tcPr>
            <w:tcW w:w="530" w:type="dxa"/>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汉川龙源博奇环保科技有限公司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704,986.48</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704,986.48</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无回收风险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代收代付电费</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长江财产保险股份有限公司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658,240.00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658,240.00</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无回收风险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应收保险赔款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荆州市津能电力有限责任公司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1,383,016.22</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276,603.04</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1,106,413.18</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预付材料款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2-3年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湖北科能环保材料有限公司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746,590.67</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44,795.44</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701,795.23</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代收代付电费</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中国船舶总公司七一八所</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664,300.00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531,440.00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132,860.00</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预付材料款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4-5年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22"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沈阳低压开关厂</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586,000.00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586,000.00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预付材料款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5年以上</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武汉新华能物业服务有限公司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584,194.15</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47,991.13</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536,203.02</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代收代付电费</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260,707.23元1年以内，其他1-2年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33" w:hRule="atLeast"/>
        </w:trPr>
        <w:tc>
          <w:tcPr>
            <w:tcW w:w="53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2256" w:type="dxa"/>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北京产权交易所有限公司</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432,000.00</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25,920.00</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406,080.00</w:t>
            </w:r>
          </w:p>
        </w:tc>
        <w:tc>
          <w:tcPr>
            <w:tcW w:w="1650"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账龄计提 </w:t>
            </w:r>
          </w:p>
        </w:tc>
        <w:tc>
          <w:tcPr>
            <w:tcW w:w="1706"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车辆处置款</w:t>
            </w:r>
          </w:p>
        </w:tc>
        <w:tc>
          <w:tcPr>
            <w:tcW w:w="84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2272"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63" w:hRule="atLeast"/>
        </w:trPr>
        <w:tc>
          <w:tcPr>
            <w:tcW w:w="2786" w:type="dxa"/>
            <w:gridSpan w:val="2"/>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小计</w:t>
            </w:r>
          </w:p>
        </w:tc>
        <w:tc>
          <w:tcPr>
            <w:tcW w:w="1757"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97,120,809.15</w:t>
            </w:r>
          </w:p>
        </w:tc>
        <w:tc>
          <w:tcPr>
            <w:tcW w:w="1694"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87,360,050.46</w:t>
            </w:r>
          </w:p>
        </w:tc>
        <w:tc>
          <w:tcPr>
            <w:tcW w:w="1513" w:type="dxa"/>
            <w:shd w:val="clear" w:color="auto" w:fill="auto"/>
            <w:vAlign w:val="center"/>
          </w:tcPr>
          <w:p>
            <w:pPr>
              <w:widowControl/>
              <w:jc w:val="right"/>
              <w:rPr>
                <w:rFonts w:cs="宋体" w:asciiTheme="minorEastAsia" w:hAnsiTheme="minorEastAsia"/>
                <w:color w:val="000000"/>
                <w:kern w:val="0"/>
                <w:szCs w:val="21"/>
              </w:rPr>
            </w:pPr>
            <w:r>
              <w:rPr>
                <w:rFonts w:hint="eastAsia" w:cs="宋体" w:asciiTheme="minorEastAsia" w:hAnsiTheme="minorEastAsia"/>
                <w:color w:val="000000"/>
                <w:kern w:val="0"/>
                <w:szCs w:val="21"/>
              </w:rPr>
              <w:t>9,760,758.69</w:t>
            </w:r>
          </w:p>
        </w:tc>
        <w:tc>
          <w:tcPr>
            <w:tcW w:w="1650" w:type="dxa"/>
            <w:shd w:val="clear" w:color="auto" w:fill="auto"/>
            <w:vAlign w:val="bottom"/>
          </w:tcPr>
          <w:p>
            <w:pPr>
              <w:widowControl/>
              <w:jc w:val="left"/>
              <w:rPr>
                <w:rFonts w:ascii="宋体" w:hAnsi="宋体" w:cs="宋体"/>
                <w:color w:val="000000"/>
                <w:kern w:val="0"/>
                <w:sz w:val="22"/>
              </w:rPr>
            </w:pPr>
          </w:p>
        </w:tc>
        <w:tc>
          <w:tcPr>
            <w:tcW w:w="1706" w:type="dxa"/>
            <w:shd w:val="clear" w:color="auto" w:fill="auto"/>
            <w:vAlign w:val="bottom"/>
          </w:tcPr>
          <w:p>
            <w:pPr>
              <w:widowControl/>
              <w:jc w:val="left"/>
              <w:rPr>
                <w:rFonts w:ascii="宋体" w:hAnsi="宋体" w:cs="宋体"/>
                <w:color w:val="000000"/>
                <w:kern w:val="0"/>
                <w:sz w:val="22"/>
              </w:rPr>
            </w:pPr>
          </w:p>
        </w:tc>
        <w:tc>
          <w:tcPr>
            <w:tcW w:w="842" w:type="dxa"/>
            <w:shd w:val="clear" w:color="auto" w:fill="auto"/>
            <w:vAlign w:val="bottom"/>
          </w:tcPr>
          <w:p>
            <w:pPr>
              <w:widowControl/>
              <w:jc w:val="center"/>
              <w:rPr>
                <w:rFonts w:ascii="宋体" w:hAnsi="宋体" w:cs="宋体"/>
                <w:color w:val="000000"/>
                <w:kern w:val="0"/>
                <w:sz w:val="22"/>
              </w:rPr>
            </w:pPr>
          </w:p>
        </w:tc>
        <w:tc>
          <w:tcPr>
            <w:tcW w:w="2272" w:type="dxa"/>
            <w:shd w:val="clear" w:color="auto" w:fill="auto"/>
            <w:vAlign w:val="bottom"/>
          </w:tcPr>
          <w:p>
            <w:pPr>
              <w:widowControl/>
              <w:jc w:val="left"/>
              <w:rPr>
                <w:rFonts w:ascii="宋体" w:hAnsi="宋体" w:cs="宋体"/>
                <w:color w:val="000000"/>
                <w:kern w:val="0"/>
                <w:sz w:val="22"/>
              </w:rPr>
            </w:pPr>
          </w:p>
        </w:tc>
      </w:tr>
    </w:tbl>
    <w:p>
      <w:pPr>
        <w:widowControl/>
        <w:jc w:val="left"/>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r>
        <w:rPr>
          <w:rFonts w:hint="eastAsia" w:ascii="宋体" w:hAnsi="宋体" w:cs="宋体"/>
          <w:color w:val="000000"/>
          <w:kern w:val="0"/>
          <w:sz w:val="22"/>
        </w:rPr>
        <w:t>注：由于其他明细金额均较小，故只列示主要单位间往来款项。</w:t>
      </w:r>
    </w:p>
    <w:p>
      <w:pPr>
        <w:ind w:firstLine="562" w:firstLineChars="200"/>
        <w:contextualSpacing/>
        <w:rPr>
          <w:rFonts w:ascii="宋体" w:hAnsi="宋体" w:cs="仿宋_GB2312-WinCharSetFFFF-H"/>
          <w:b/>
          <w:kern w:val="0"/>
          <w:sz w:val="28"/>
          <w:szCs w:val="28"/>
        </w:rPr>
      </w:pPr>
      <w:r>
        <w:rPr>
          <w:rFonts w:hint="eastAsia" w:ascii="宋体" w:hAnsi="宋体" w:cs="仿宋_GB2312-WinCharSetFFFF-H"/>
          <w:b/>
          <w:kern w:val="0"/>
          <w:sz w:val="28"/>
          <w:szCs w:val="28"/>
        </w:rPr>
        <w:t>三、</w:t>
      </w:r>
      <w:r>
        <w:rPr>
          <w:rFonts w:hint="eastAsia" w:eastAsia="方正仿宋简体" w:cs="宋体"/>
          <w:kern w:val="0"/>
          <w:sz w:val="28"/>
          <w:szCs w:val="28"/>
        </w:rPr>
        <w:t>年报显示，你公司</w:t>
      </w:r>
      <w:r>
        <w:rPr>
          <w:rFonts w:eastAsia="方正仿宋简体" w:cs="宋体"/>
          <w:kern w:val="0"/>
          <w:sz w:val="28"/>
          <w:szCs w:val="28"/>
        </w:rPr>
        <w:t>2017</w:t>
      </w:r>
      <w:r>
        <w:rPr>
          <w:rFonts w:hint="eastAsia" w:eastAsia="方正仿宋简体" w:cs="宋体"/>
          <w:kern w:val="0"/>
          <w:sz w:val="28"/>
          <w:szCs w:val="28"/>
        </w:rPr>
        <w:t>年、</w:t>
      </w:r>
      <w:r>
        <w:rPr>
          <w:rFonts w:eastAsia="方正仿宋简体" w:cs="宋体"/>
          <w:kern w:val="0"/>
          <w:sz w:val="28"/>
          <w:szCs w:val="28"/>
        </w:rPr>
        <w:t>2018</w:t>
      </w:r>
      <w:r>
        <w:rPr>
          <w:rFonts w:hint="eastAsia" w:eastAsia="方正仿宋简体" w:cs="宋体"/>
          <w:kern w:val="0"/>
          <w:sz w:val="28"/>
          <w:szCs w:val="28"/>
        </w:rPr>
        <w:t>年分别向金融机构以不附追索权的方式转让了应收账款</w:t>
      </w:r>
      <w:r>
        <w:rPr>
          <w:rFonts w:eastAsia="方正仿宋简体" w:cs="宋体"/>
          <w:kern w:val="0"/>
          <w:sz w:val="28"/>
          <w:szCs w:val="28"/>
        </w:rPr>
        <w:t>2.45</w:t>
      </w:r>
      <w:r>
        <w:rPr>
          <w:rFonts w:hint="eastAsia" w:eastAsia="方正仿宋简体" w:cs="宋体"/>
          <w:kern w:val="0"/>
          <w:sz w:val="28"/>
          <w:szCs w:val="28"/>
        </w:rPr>
        <w:t>亿元、</w:t>
      </w:r>
      <w:r>
        <w:rPr>
          <w:rFonts w:eastAsia="方正仿宋简体" w:cs="宋体"/>
          <w:kern w:val="0"/>
          <w:sz w:val="28"/>
          <w:szCs w:val="28"/>
        </w:rPr>
        <w:t>2.4</w:t>
      </w:r>
      <w:r>
        <w:rPr>
          <w:rFonts w:hint="eastAsia" w:eastAsia="方正仿宋简体" w:cs="宋体"/>
          <w:kern w:val="0"/>
          <w:sz w:val="28"/>
          <w:szCs w:val="28"/>
        </w:rPr>
        <w:t>亿元，相关损失为</w:t>
      </w:r>
      <w:r>
        <w:rPr>
          <w:rFonts w:eastAsia="方正仿宋简体" w:cs="宋体"/>
          <w:kern w:val="0"/>
          <w:sz w:val="28"/>
          <w:szCs w:val="28"/>
        </w:rPr>
        <w:t>95.16</w:t>
      </w:r>
      <w:r>
        <w:rPr>
          <w:rFonts w:hint="eastAsia" w:eastAsia="方正仿宋简体" w:cs="宋体"/>
          <w:kern w:val="0"/>
          <w:sz w:val="28"/>
          <w:szCs w:val="28"/>
        </w:rPr>
        <w:t>万元、</w:t>
      </w:r>
      <w:r>
        <w:rPr>
          <w:rFonts w:eastAsia="方正仿宋简体" w:cs="宋体"/>
          <w:kern w:val="0"/>
          <w:sz w:val="28"/>
          <w:szCs w:val="28"/>
        </w:rPr>
        <w:t>88.81</w:t>
      </w:r>
      <w:r>
        <w:rPr>
          <w:rFonts w:hint="eastAsia" w:eastAsia="方正仿宋简体" w:cs="宋体"/>
          <w:kern w:val="0"/>
          <w:sz w:val="28"/>
          <w:szCs w:val="28"/>
        </w:rPr>
        <w:t>万元。请说明你公司转让上述应收账款的原因，不附追索权的依据，终止确认损失的会计处理及确认依据，是否符合《企业会计准则第</w:t>
      </w:r>
      <w:r>
        <w:rPr>
          <w:rFonts w:eastAsia="方正仿宋简体" w:cs="宋体"/>
          <w:kern w:val="0"/>
          <w:sz w:val="28"/>
          <w:szCs w:val="28"/>
        </w:rPr>
        <w:t>23</w:t>
      </w:r>
      <w:r>
        <w:rPr>
          <w:rFonts w:hint="eastAsia" w:eastAsia="方正仿宋简体" w:cs="宋体"/>
          <w:kern w:val="0"/>
          <w:sz w:val="28"/>
          <w:szCs w:val="28"/>
        </w:rPr>
        <w:t>号——金融资产转移》中有关金融资产终止确认的规定。请年审会计师对上述事项核查并发表意见。</w:t>
      </w:r>
    </w:p>
    <w:p>
      <w:pPr>
        <w:topLinePunct/>
        <w:ind w:firstLine="480"/>
        <w:contextualSpacing/>
        <w:jc w:val="left"/>
        <w:rPr>
          <w:rFonts w:ascii="宋体" w:hAnsi="宋体"/>
          <w:sz w:val="28"/>
          <w:szCs w:val="28"/>
        </w:rPr>
      </w:pPr>
      <w:r>
        <w:rPr>
          <w:rFonts w:hint="eastAsia" w:ascii="宋体" w:hAnsi="宋体"/>
          <w:sz w:val="28"/>
          <w:szCs w:val="28"/>
        </w:rPr>
        <w:t>答：为加快应收账款回收，公司于2017年、2018年开展了应收账款转让等相关工作，</w:t>
      </w:r>
      <w:r>
        <w:rPr>
          <w:rFonts w:hint="eastAsia" w:ascii="宋体" w:hAnsi="宋体" w:cs="宋体"/>
          <w:kern w:val="0"/>
          <w:sz w:val="28"/>
          <w:szCs w:val="28"/>
        </w:rPr>
        <w:t>公司年审会计师对上述事项进行了核查并发表了意见（详见附件）。</w:t>
      </w:r>
      <w:r>
        <w:rPr>
          <w:rFonts w:hint="eastAsia" w:ascii="宋体" w:hAnsi="宋体"/>
          <w:sz w:val="28"/>
          <w:szCs w:val="28"/>
        </w:rPr>
        <w:t>具体情况如下：</w:t>
      </w:r>
    </w:p>
    <w:p>
      <w:pPr>
        <w:topLinePunct/>
        <w:ind w:firstLine="480"/>
        <w:contextualSpacing/>
        <w:jc w:val="left"/>
        <w:rPr>
          <w:rFonts w:ascii="宋体" w:hAnsi="宋体"/>
          <w:sz w:val="28"/>
          <w:szCs w:val="28"/>
        </w:rPr>
      </w:pPr>
      <w:r>
        <w:rPr>
          <w:rFonts w:hint="eastAsia" w:ascii="宋体" w:hAnsi="宋体"/>
          <w:sz w:val="28"/>
          <w:szCs w:val="28"/>
        </w:rPr>
        <w:t>1、相关业务内容</w:t>
      </w:r>
    </w:p>
    <w:p>
      <w:pPr>
        <w:topLinePunct/>
        <w:ind w:firstLine="480"/>
        <w:contextualSpacing/>
        <w:jc w:val="left"/>
        <w:rPr>
          <w:rFonts w:ascii="宋体" w:hAnsi="宋体"/>
          <w:sz w:val="28"/>
          <w:szCs w:val="28"/>
        </w:rPr>
      </w:pPr>
      <w:r>
        <w:rPr>
          <w:rFonts w:hint="eastAsia" w:ascii="宋体" w:hAnsi="宋体"/>
          <w:sz w:val="28"/>
          <w:szCs w:val="28"/>
        </w:rPr>
        <w:t>（1）2017年，公司所属子公司于2017年12月15日将12月当月部分应收电费转让至控股股东国电集团，转让的应收账款金额为24,500万元，转让价格在充分考虑资金的时间价值，并参考中国人民银行同期基准贷款利率等因素后，经评估确定为24,411.19万元，公司承担提前收回应收电费的资金成本88.81万元（具体内容详见公司于2017年11月29日和12月19日在《中国证券报》、《证券时报》和巨潮资讯网上披露的有关公告，公告编号：2017-079、082）。根据公司所属子公司与国电集团签订的协议，明确了买方（即国电集团）承担基础资产（即应收电费）的全部风险，并享有基础资产所产生的全部收益。</w:t>
      </w:r>
    </w:p>
    <w:p>
      <w:pPr>
        <w:topLinePunct/>
        <w:ind w:firstLine="480"/>
        <w:contextualSpacing/>
        <w:jc w:val="left"/>
        <w:rPr>
          <w:rFonts w:ascii="宋体" w:hAnsi="宋体"/>
          <w:sz w:val="28"/>
          <w:szCs w:val="28"/>
        </w:rPr>
      </w:pPr>
      <w:r>
        <w:rPr>
          <w:rFonts w:hint="eastAsia" w:ascii="宋体" w:hAnsi="宋体"/>
          <w:sz w:val="28"/>
          <w:szCs w:val="28"/>
        </w:rPr>
        <w:t>（2）2018年，公司与中国银行开展3个月循环的应收账款保理，即于2018年11月底，公司将11月的应收账款转让给中国银行，并承担相应的保理费用，待12月收回电费后，公司只作代收代付，并归还银行；下月再按以上流程循环处理。11月、12月公司各开展了1.2亿元的应收账款保理业务，累计2.4亿元，发生的保理费用为95.16万元。根据公司与中国银行签订的《买断式国内商业发票贴现协议》约定，公司向中国银行转让应收账款，并向其转让该应收账款下的一切权利，中国银行并不保留</w:t>
      </w:r>
      <w:r>
        <w:rPr>
          <w:rFonts w:hint="eastAsia" w:ascii="宋体" w:hAnsi="宋体"/>
          <w:sz w:val="28"/>
          <w:szCs w:val="28"/>
          <w:lang w:eastAsia="zh-CN"/>
        </w:rPr>
        <w:t>向公司</w:t>
      </w:r>
      <w:r>
        <w:rPr>
          <w:rFonts w:hint="eastAsia" w:ascii="宋体" w:hAnsi="宋体"/>
          <w:sz w:val="28"/>
          <w:szCs w:val="28"/>
        </w:rPr>
        <w:t>追索的权利。</w:t>
      </w:r>
    </w:p>
    <w:p>
      <w:pPr>
        <w:topLinePunct/>
        <w:ind w:firstLine="480"/>
        <w:contextualSpacing/>
        <w:jc w:val="left"/>
        <w:rPr>
          <w:rFonts w:ascii="宋体" w:hAnsi="宋体"/>
          <w:sz w:val="28"/>
          <w:szCs w:val="28"/>
        </w:rPr>
      </w:pPr>
      <w:r>
        <w:rPr>
          <w:rFonts w:hint="eastAsia" w:ascii="宋体" w:hAnsi="宋体"/>
          <w:sz w:val="28"/>
          <w:szCs w:val="28"/>
        </w:rPr>
        <w:t>2、不附追索权的依据</w:t>
      </w:r>
    </w:p>
    <w:p>
      <w:pPr>
        <w:topLinePunct/>
        <w:ind w:firstLine="480"/>
        <w:contextualSpacing/>
        <w:jc w:val="left"/>
        <w:rPr>
          <w:rFonts w:ascii="宋体" w:hAnsi="宋体"/>
          <w:sz w:val="28"/>
          <w:szCs w:val="28"/>
        </w:rPr>
      </w:pPr>
      <w:r>
        <w:rPr>
          <w:rFonts w:hint="eastAsia" w:ascii="宋体" w:hAnsi="宋体"/>
          <w:sz w:val="28"/>
          <w:szCs w:val="28"/>
        </w:rPr>
        <w:t>经公司与国电集团、中国银行协商，上述两方均认为本次保理业务的债务人——国网湖北省电力公司资金实力雄厚、企业信誉良好，其到期不履行付款义务的风险极小，故国电集团、中国银行同意采取不附追索权的方式与公司签署应收账款转让协议，该方式对公司有利，未损害公司和股东的合法权益。</w:t>
      </w:r>
    </w:p>
    <w:p>
      <w:pPr>
        <w:topLinePunct/>
        <w:ind w:firstLine="480"/>
        <w:contextualSpacing/>
        <w:jc w:val="left"/>
        <w:rPr>
          <w:rFonts w:ascii="宋体" w:hAnsi="宋体"/>
          <w:sz w:val="28"/>
          <w:szCs w:val="28"/>
        </w:rPr>
      </w:pPr>
      <w:r>
        <w:rPr>
          <w:rFonts w:hint="eastAsia" w:ascii="宋体" w:hAnsi="宋体"/>
          <w:sz w:val="28"/>
          <w:szCs w:val="28"/>
        </w:rPr>
        <w:t>3、终止确认损失的会计处理及确认依据</w:t>
      </w:r>
    </w:p>
    <w:p>
      <w:pPr>
        <w:topLinePunct/>
        <w:ind w:firstLine="480"/>
        <w:contextualSpacing/>
        <w:jc w:val="left"/>
        <w:rPr>
          <w:rFonts w:ascii="宋体" w:hAnsi="宋体"/>
          <w:sz w:val="28"/>
          <w:szCs w:val="28"/>
        </w:rPr>
      </w:pPr>
      <w:r>
        <w:rPr>
          <w:rFonts w:hint="eastAsia" w:ascii="宋体" w:hAnsi="宋体"/>
          <w:sz w:val="28"/>
          <w:szCs w:val="28"/>
        </w:rPr>
        <w:t>根据《企业会计准则第23号——金融资产转移》第十二条规定：金融资产整体转移满足终止确认条件的，应当将下列两项金额的差额计入当期损益：（1）所转移金融资产的账面价值；（2）因转移而收到的对价，与原直接计入所有者权益的公允价值变动累计额（涉及转移的金融资产为可供出售金融资产的情形）之和。故公司将收到价款与账面应收账款的差额部分</w:t>
      </w:r>
      <w:r>
        <w:rPr>
          <w:rFonts w:hint="eastAsia" w:ascii="宋体" w:hAnsi="宋体"/>
          <w:sz w:val="28"/>
          <w:szCs w:val="28"/>
          <w:lang w:eastAsia="zh-CN"/>
        </w:rPr>
        <w:t>（即</w:t>
      </w:r>
      <w:r>
        <w:rPr>
          <w:rFonts w:hint="eastAsia" w:ascii="宋体" w:hAnsi="宋体"/>
          <w:sz w:val="28"/>
          <w:szCs w:val="28"/>
          <w:lang w:val="en-US" w:eastAsia="zh-CN"/>
        </w:rPr>
        <w:t>2017年的88.81万元、2018年的95.16万元</w:t>
      </w:r>
      <w:r>
        <w:rPr>
          <w:rFonts w:hint="eastAsia" w:ascii="宋体" w:hAnsi="宋体"/>
          <w:sz w:val="28"/>
          <w:szCs w:val="28"/>
          <w:lang w:eastAsia="zh-CN"/>
        </w:rPr>
        <w:t>）</w:t>
      </w:r>
      <w:r>
        <w:rPr>
          <w:rFonts w:hint="eastAsia" w:ascii="宋体" w:hAnsi="宋体"/>
          <w:sz w:val="28"/>
          <w:szCs w:val="28"/>
        </w:rPr>
        <w:t>，计入财务费用，并计入当期损益。具体会计处理如下：</w:t>
      </w:r>
    </w:p>
    <w:p>
      <w:pPr>
        <w:topLinePunct/>
        <w:ind w:firstLine="480"/>
        <w:contextualSpacing/>
        <w:jc w:val="left"/>
        <w:rPr>
          <w:rFonts w:ascii="宋体" w:hAnsi="宋体"/>
          <w:sz w:val="28"/>
          <w:szCs w:val="28"/>
        </w:rPr>
      </w:pPr>
      <w:r>
        <w:rPr>
          <w:rFonts w:hint="eastAsia" w:ascii="宋体" w:hAnsi="宋体"/>
          <w:sz w:val="28"/>
          <w:szCs w:val="28"/>
        </w:rPr>
        <w:t>借：银行存款</w:t>
      </w:r>
    </w:p>
    <w:p>
      <w:pPr>
        <w:topLinePunct/>
        <w:ind w:firstLine="480"/>
        <w:contextualSpacing/>
        <w:jc w:val="left"/>
        <w:rPr>
          <w:rFonts w:ascii="宋体" w:hAnsi="宋体"/>
          <w:sz w:val="28"/>
          <w:szCs w:val="28"/>
        </w:rPr>
      </w:pPr>
      <w:r>
        <w:rPr>
          <w:rFonts w:hint="eastAsia" w:ascii="宋体" w:hAnsi="宋体"/>
          <w:sz w:val="28"/>
          <w:szCs w:val="28"/>
        </w:rPr>
        <w:t xml:space="preserve">    财务费用</w:t>
      </w:r>
    </w:p>
    <w:p>
      <w:pPr>
        <w:topLinePunct/>
        <w:ind w:firstLine="480"/>
        <w:contextualSpacing/>
        <w:jc w:val="left"/>
        <w:rPr>
          <w:rFonts w:ascii="宋体" w:hAnsi="宋体"/>
          <w:sz w:val="28"/>
          <w:szCs w:val="28"/>
        </w:rPr>
      </w:pPr>
      <w:r>
        <w:rPr>
          <w:rFonts w:hint="eastAsia" w:ascii="宋体" w:hAnsi="宋体"/>
          <w:sz w:val="28"/>
          <w:szCs w:val="28"/>
        </w:rPr>
        <w:t>贷：应收账款-湖北电网</w:t>
      </w:r>
    </w:p>
    <w:p>
      <w:pPr>
        <w:topLinePunct/>
        <w:ind w:firstLine="480"/>
        <w:contextualSpacing/>
        <w:jc w:val="left"/>
        <w:rPr>
          <w:rFonts w:ascii="宋体" w:hAnsi="宋体"/>
          <w:sz w:val="28"/>
          <w:szCs w:val="28"/>
        </w:rPr>
      </w:pPr>
      <w:r>
        <w:rPr>
          <w:rFonts w:hint="eastAsia" w:ascii="宋体" w:hAnsi="宋体"/>
          <w:sz w:val="28"/>
          <w:szCs w:val="28"/>
        </w:rPr>
        <w:t>4、是否符合《企业会计准则第 23 号——金融资产转移》中有关金融资产终止确认的规定</w:t>
      </w:r>
    </w:p>
    <w:p>
      <w:pPr>
        <w:topLinePunct/>
        <w:ind w:firstLine="480"/>
        <w:contextualSpacing/>
        <w:jc w:val="left"/>
        <w:rPr>
          <w:rFonts w:ascii="宋体" w:hAnsi="宋体"/>
          <w:sz w:val="28"/>
          <w:szCs w:val="28"/>
        </w:rPr>
      </w:pPr>
      <w:r>
        <w:rPr>
          <w:rFonts w:hint="eastAsia" w:ascii="宋体" w:hAnsi="宋体"/>
          <w:sz w:val="28"/>
          <w:szCs w:val="28"/>
        </w:rPr>
        <w:t>《企业会计准则第 23 号——金融资产转移》中对金融资产终止确认的判断条件为：企业已将金融资产所有权上几乎所有风险和报酬转移给转入方，应当终止确认相关金融资产。具体包括以下三种情形:(1)不附任何追索权方式出售金融资产；(2)附回购协议的金融资产出售，回购价为回购时该金融资产的公允价值；(3)附重大价外看跌期权(或重大价外看涨期权)的金融资产出售。</w:t>
      </w:r>
    </w:p>
    <w:p>
      <w:pPr>
        <w:topLinePunct/>
        <w:ind w:firstLine="480"/>
        <w:contextualSpacing/>
        <w:jc w:val="left"/>
        <w:rPr>
          <w:rFonts w:ascii="宋体" w:hAnsi="宋体"/>
          <w:sz w:val="28"/>
          <w:szCs w:val="28"/>
        </w:rPr>
      </w:pPr>
      <w:r>
        <w:rPr>
          <w:rFonts w:hint="eastAsia" w:ascii="宋体" w:hAnsi="宋体"/>
          <w:sz w:val="28"/>
          <w:szCs w:val="28"/>
        </w:rPr>
        <w:t>根据以上规定</w:t>
      </w:r>
      <w:r>
        <w:rPr>
          <w:rFonts w:hint="eastAsia" w:ascii="宋体" w:hAnsi="宋体"/>
          <w:sz w:val="28"/>
          <w:szCs w:val="28"/>
          <w:lang w:eastAsia="zh-CN"/>
        </w:rPr>
        <w:t>的第</w:t>
      </w:r>
      <w:r>
        <w:rPr>
          <w:rFonts w:hint="eastAsia" w:ascii="宋体" w:hAnsi="宋体"/>
          <w:sz w:val="28"/>
          <w:szCs w:val="28"/>
        </w:rPr>
        <w:t>(1)</w:t>
      </w:r>
      <w:r>
        <w:rPr>
          <w:rFonts w:hint="eastAsia" w:ascii="宋体" w:hAnsi="宋体"/>
          <w:sz w:val="28"/>
          <w:szCs w:val="28"/>
          <w:lang w:eastAsia="zh-CN"/>
        </w:rPr>
        <w:t>种情形</w:t>
      </w:r>
      <w:r>
        <w:rPr>
          <w:rFonts w:hint="eastAsia" w:ascii="宋体" w:hAnsi="宋体"/>
          <w:sz w:val="28"/>
          <w:szCs w:val="28"/>
        </w:rPr>
        <w:t>，结合公司与国电集团、中国银行签订的协议文本条款，公司认为以上两笔应收账款保理符合《企业会计准则第 23 号——金融资产转移》中有关金融资产终止确认的规定。</w:t>
      </w:r>
    </w:p>
    <w:p>
      <w:pPr>
        <w:ind w:firstLine="562" w:firstLineChars="200"/>
        <w:contextualSpacing/>
        <w:outlineLvl w:val="0"/>
        <w:rPr>
          <w:rFonts w:ascii="宋体" w:hAnsi="宋体" w:cs="仿宋_GB2312-WinCharSetFFFF-H"/>
          <w:b/>
          <w:kern w:val="0"/>
          <w:sz w:val="28"/>
          <w:szCs w:val="28"/>
        </w:rPr>
      </w:pPr>
      <w:r>
        <w:rPr>
          <w:rFonts w:hint="eastAsia" w:ascii="宋体" w:hAnsi="宋体" w:cs="仿宋_GB2312-WinCharSetFFFF-H"/>
          <w:b/>
          <w:kern w:val="0"/>
          <w:sz w:val="28"/>
          <w:szCs w:val="28"/>
        </w:rPr>
        <w:t>四、</w:t>
      </w:r>
      <w:r>
        <w:rPr>
          <w:rFonts w:hint="eastAsia" w:eastAsia="方正仿宋简体" w:cs="宋体"/>
          <w:kern w:val="0"/>
          <w:sz w:val="28"/>
          <w:szCs w:val="28"/>
        </w:rPr>
        <w:t>年报显示，你公司报告期末按欠款方归集的年末余额前五名应收账款汇总金额为</w:t>
      </w:r>
      <w:r>
        <w:rPr>
          <w:rFonts w:eastAsia="方正仿宋简体" w:cs="宋体"/>
          <w:kern w:val="0"/>
          <w:sz w:val="28"/>
          <w:szCs w:val="28"/>
        </w:rPr>
        <w:t>7.74</w:t>
      </w:r>
      <w:r>
        <w:rPr>
          <w:rFonts w:hint="eastAsia" w:eastAsia="方正仿宋简体" w:cs="宋体"/>
          <w:kern w:val="0"/>
          <w:sz w:val="28"/>
          <w:szCs w:val="28"/>
        </w:rPr>
        <w:t>亿元，占应收账款年末余额合计数的比例为</w:t>
      </w:r>
      <w:r>
        <w:rPr>
          <w:rFonts w:eastAsia="方正仿宋简体" w:cs="宋体"/>
          <w:kern w:val="0"/>
          <w:sz w:val="28"/>
          <w:szCs w:val="28"/>
        </w:rPr>
        <w:t>99.90%</w:t>
      </w:r>
      <w:r>
        <w:rPr>
          <w:rFonts w:hint="eastAsia" w:eastAsia="方正仿宋简体" w:cs="宋体"/>
          <w:kern w:val="0"/>
          <w:sz w:val="28"/>
          <w:szCs w:val="28"/>
        </w:rPr>
        <w:t>。请补充披露按欠款方归集的年末余额前五名的单位名称、具体金额、账龄，相关方是否为关联方。</w:t>
      </w:r>
    </w:p>
    <w:p>
      <w:pPr>
        <w:ind w:firstLine="560" w:firstLineChars="200"/>
        <w:contextualSpacing/>
        <w:rPr>
          <w:rFonts w:ascii="宋体" w:hAnsi="宋体"/>
          <w:sz w:val="28"/>
          <w:szCs w:val="28"/>
        </w:rPr>
      </w:pPr>
      <w:r>
        <w:rPr>
          <w:rFonts w:hint="eastAsia" w:ascii="宋体" w:hAnsi="宋体"/>
          <w:sz w:val="28"/>
          <w:szCs w:val="28"/>
        </w:rPr>
        <w:t>答：报告期末，公司按欠款方归集的年末余额前五名应收账款汇总金额7.74 亿元，占应收账款年末余额合计数比例为 99.90%，前五名相关方不是公司的关联方，不存在应收关联方款项事项。具体情况明细如下：</w:t>
      </w:r>
    </w:p>
    <w:p>
      <w:pPr>
        <w:ind w:firstLine="480" w:firstLineChars="200"/>
        <w:jc w:val="right"/>
        <w:rPr>
          <w:rFonts w:asciiTheme="minorEastAsia" w:hAnsiTheme="minorEastAsia"/>
          <w:b/>
          <w:sz w:val="24"/>
          <w:szCs w:val="28"/>
        </w:rPr>
      </w:pPr>
      <w:r>
        <w:rPr>
          <w:rFonts w:hint="eastAsia" w:asciiTheme="minorEastAsia" w:hAnsiTheme="minorEastAsia"/>
          <w:sz w:val="24"/>
          <w:szCs w:val="28"/>
        </w:rPr>
        <w:t>单位：元</w:t>
      </w:r>
    </w:p>
    <w:tbl>
      <w:tblPr>
        <w:tblStyle w:val="10"/>
        <w:tblW w:w="9499" w:type="dxa"/>
        <w:tblInd w:w="-251"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87"/>
        <w:gridCol w:w="2813"/>
        <w:gridCol w:w="849"/>
        <w:gridCol w:w="1619"/>
        <w:gridCol w:w="1524"/>
        <w:gridCol w:w="220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8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81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应收前5名</w:t>
            </w:r>
          </w:p>
        </w:tc>
        <w:tc>
          <w:tcPr>
            <w:tcW w:w="84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是否关联方</w:t>
            </w:r>
          </w:p>
        </w:tc>
        <w:tc>
          <w:tcPr>
            <w:tcW w:w="161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原值</w:t>
            </w:r>
          </w:p>
        </w:tc>
        <w:tc>
          <w:tcPr>
            <w:tcW w:w="152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坏账</w:t>
            </w:r>
          </w:p>
        </w:tc>
        <w:tc>
          <w:tcPr>
            <w:tcW w:w="22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账龄</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8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81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国网湖北省电力有限公司</w:t>
            </w:r>
          </w:p>
        </w:tc>
        <w:tc>
          <w:tcPr>
            <w:tcW w:w="84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1619"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758,701,053.40</w:t>
            </w:r>
          </w:p>
        </w:tc>
        <w:tc>
          <w:tcPr>
            <w:tcW w:w="1524"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2,851,314.38</w:t>
            </w:r>
          </w:p>
        </w:tc>
        <w:tc>
          <w:tcPr>
            <w:tcW w:w="2207" w:type="dxa"/>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13,676,581.38元1-2年，为风电应收新能源补贴；其他6个月以内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8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81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湖北荆门联成热能有限公司</w:t>
            </w:r>
          </w:p>
        </w:tc>
        <w:tc>
          <w:tcPr>
            <w:tcW w:w="84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1619"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12,864,514.62</w:t>
            </w:r>
          </w:p>
        </w:tc>
        <w:tc>
          <w:tcPr>
            <w:tcW w:w="1524"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771,870.88</w:t>
            </w:r>
          </w:p>
        </w:tc>
        <w:tc>
          <w:tcPr>
            <w:tcW w:w="2207" w:type="dxa"/>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8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81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武汉市东西湖区能源有限公司</w:t>
            </w:r>
          </w:p>
        </w:tc>
        <w:tc>
          <w:tcPr>
            <w:tcW w:w="84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1619"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2,146,620.00</w:t>
            </w:r>
          </w:p>
        </w:tc>
        <w:tc>
          <w:tcPr>
            <w:tcW w:w="1524"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128,797.20</w:t>
            </w:r>
          </w:p>
        </w:tc>
        <w:tc>
          <w:tcPr>
            <w:tcW w:w="2207" w:type="dxa"/>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8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1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荆门新兴建材有限责任公司</w:t>
            </w:r>
          </w:p>
        </w:tc>
        <w:tc>
          <w:tcPr>
            <w:tcW w:w="84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1619"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225,566.26</w:t>
            </w:r>
          </w:p>
        </w:tc>
        <w:tc>
          <w:tcPr>
            <w:tcW w:w="1524"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8,055.94</w:t>
            </w:r>
          </w:p>
        </w:tc>
        <w:tc>
          <w:tcPr>
            <w:tcW w:w="2207" w:type="dxa"/>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1年以内</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8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81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荆州市金发印染有限公司</w:t>
            </w:r>
          </w:p>
        </w:tc>
        <w:tc>
          <w:tcPr>
            <w:tcW w:w="84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1619"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402,661.00</w:t>
            </w:r>
          </w:p>
        </w:tc>
        <w:tc>
          <w:tcPr>
            <w:tcW w:w="1524"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201,330.50</w:t>
            </w:r>
          </w:p>
        </w:tc>
        <w:tc>
          <w:tcPr>
            <w:tcW w:w="2207" w:type="dxa"/>
            <w:shd w:val="clear" w:color="auto" w:fill="auto"/>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3-4年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4149" w:type="dxa"/>
            <w:gridSpan w:val="3"/>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19"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774,340,415.28</w:t>
            </w:r>
          </w:p>
        </w:tc>
        <w:tc>
          <w:tcPr>
            <w:tcW w:w="1524" w:type="dxa"/>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3,961,368.90</w:t>
            </w:r>
          </w:p>
        </w:tc>
        <w:tc>
          <w:tcPr>
            <w:tcW w:w="2207" w:type="dxa"/>
            <w:shd w:val="clear" w:color="auto" w:fill="auto"/>
            <w:vAlign w:val="bottom"/>
          </w:tcPr>
          <w:p>
            <w:pPr>
              <w:widowControl/>
              <w:jc w:val="right"/>
              <w:rPr>
                <w:rFonts w:ascii="宋体" w:hAnsi="宋体" w:cs="宋体"/>
                <w:color w:val="000000"/>
                <w:kern w:val="0"/>
                <w:sz w:val="20"/>
                <w:szCs w:val="20"/>
              </w:rPr>
            </w:pPr>
          </w:p>
        </w:tc>
      </w:tr>
    </w:tbl>
    <w:p/>
    <w:p>
      <w:pPr>
        <w:ind w:firstLine="562" w:firstLineChars="200"/>
        <w:contextualSpacing/>
        <w:rPr>
          <w:rFonts w:ascii="宋体" w:hAnsi="宋体" w:cs="仿宋_GB2312-WinCharSetFFFF-H"/>
          <w:b/>
          <w:kern w:val="0"/>
          <w:sz w:val="28"/>
          <w:szCs w:val="28"/>
        </w:rPr>
      </w:pPr>
      <w:r>
        <w:rPr>
          <w:rFonts w:hint="eastAsia" w:ascii="宋体" w:hAnsi="宋体" w:cs="仿宋_GB2312-WinCharSetFFFF-H"/>
          <w:b/>
          <w:kern w:val="0"/>
          <w:sz w:val="28"/>
          <w:szCs w:val="28"/>
        </w:rPr>
        <w:t>五、</w:t>
      </w:r>
      <w:r>
        <w:rPr>
          <w:rFonts w:hint="eastAsia" w:eastAsia="方正仿宋简体" w:cs="宋体"/>
          <w:kern w:val="0"/>
          <w:sz w:val="28"/>
          <w:szCs w:val="28"/>
        </w:rPr>
        <w:t>年报“未办妥产权证书的固定资产情况”处显示，报告期末你公司未办妥产权证书的固定资产合计</w:t>
      </w:r>
      <w:r>
        <w:rPr>
          <w:rFonts w:eastAsia="方正仿宋简体" w:cs="宋体"/>
          <w:kern w:val="0"/>
          <w:sz w:val="28"/>
          <w:szCs w:val="28"/>
        </w:rPr>
        <w:t>4.03</w:t>
      </w:r>
      <w:r>
        <w:rPr>
          <w:rFonts w:hint="eastAsia" w:eastAsia="方正仿宋简体" w:cs="宋体"/>
          <w:kern w:val="0"/>
          <w:sz w:val="28"/>
          <w:szCs w:val="28"/>
        </w:rPr>
        <w:t>亿元，且有多项房屋建筑物因停工停产暂未办理产权证书。请你公司说明未办妥产权证书的固定资产对你公司生产经营的影响，办理产权证书的具体安排，多处停工停产的原因。如涉及临时信息披露义务，请补充披露相关情况。</w:t>
      </w:r>
    </w:p>
    <w:p>
      <w:pPr>
        <w:ind w:firstLine="560" w:firstLineChars="200"/>
        <w:contextualSpacing/>
        <w:rPr>
          <w:rFonts w:ascii="宋体" w:hAnsi="宋体"/>
          <w:sz w:val="28"/>
          <w:szCs w:val="28"/>
        </w:rPr>
      </w:pPr>
      <w:r>
        <w:rPr>
          <w:rFonts w:hint="eastAsia" w:ascii="宋体" w:hAnsi="宋体"/>
          <w:sz w:val="28"/>
          <w:szCs w:val="28"/>
        </w:rPr>
        <w:t>答：报告期末，公司未办妥产权证书的固定资产合计4.03亿元，其中国电长源第一发电有限责任公司（以下简称长源一发）1.02亿元，国电长源荆门热电厂（公司内核单位，含</w:t>
      </w:r>
      <w:r>
        <w:rPr>
          <w:rFonts w:hint="eastAsia" w:ascii="宋体" w:hAnsi="宋体"/>
          <w:sz w:val="28"/>
          <w:szCs w:val="28"/>
          <w:lang w:eastAsia="zh-CN"/>
        </w:rPr>
        <w:t>国电长源</w:t>
      </w:r>
      <w:r>
        <w:rPr>
          <w:rFonts w:hint="eastAsia" w:ascii="宋体" w:hAnsi="宋体"/>
          <w:sz w:val="28"/>
          <w:szCs w:val="28"/>
        </w:rPr>
        <w:t>荆门发电有限公司，以下简称荆门公司）1.32亿元，国电长源荆州热电有限公司（以下简称荆州公司）1.66亿元，河南煤业所属的禹州市安兴煤业有限公司（以下简称安兴公司）和禹州市兴华煤业有限公司（以下简称兴华公司）183万元。有关情况如下：</w:t>
      </w:r>
    </w:p>
    <w:p>
      <w:pPr>
        <w:ind w:firstLine="560" w:firstLineChars="200"/>
        <w:contextualSpacing/>
        <w:rPr>
          <w:rFonts w:ascii="宋体" w:hAnsi="宋体"/>
          <w:sz w:val="28"/>
          <w:szCs w:val="28"/>
        </w:rPr>
      </w:pPr>
      <w:r>
        <w:rPr>
          <w:rFonts w:hint="eastAsia" w:ascii="宋体" w:hAnsi="宋体"/>
          <w:sz w:val="28"/>
          <w:szCs w:val="28"/>
        </w:rPr>
        <w:t>1、未办理产权证的原因</w:t>
      </w:r>
    </w:p>
    <w:p>
      <w:pPr>
        <w:ind w:firstLine="560" w:firstLineChars="200"/>
        <w:contextualSpacing/>
        <w:rPr>
          <w:rFonts w:ascii="宋体" w:hAnsi="宋体"/>
          <w:sz w:val="28"/>
          <w:szCs w:val="28"/>
        </w:rPr>
      </w:pPr>
      <w:r>
        <w:rPr>
          <w:rFonts w:hint="eastAsia" w:ascii="宋体" w:hAnsi="宋体"/>
          <w:sz w:val="28"/>
          <w:szCs w:val="28"/>
        </w:rPr>
        <w:t>（1）长源一发主要是由于所使用的土地性质为划拨地，需变更土地性质后，方可办理与厂内房屋建筑物相关的产权证。</w:t>
      </w:r>
    </w:p>
    <w:p>
      <w:pPr>
        <w:ind w:firstLine="560" w:firstLineChars="200"/>
        <w:contextualSpacing/>
        <w:rPr>
          <w:rFonts w:ascii="宋体" w:hAnsi="宋体"/>
          <w:sz w:val="28"/>
          <w:szCs w:val="28"/>
        </w:rPr>
      </w:pPr>
      <w:r>
        <w:rPr>
          <w:rFonts w:hint="eastAsia" w:ascii="宋体" w:hAnsi="宋体"/>
          <w:sz w:val="28"/>
          <w:szCs w:val="28"/>
        </w:rPr>
        <w:t>（2）荆门热电厂（含荆门公司）在</w:t>
      </w:r>
      <w:r>
        <w:rPr>
          <w:rFonts w:hint="eastAsia" w:ascii="宋体" w:hAnsi="宋体"/>
          <w:sz w:val="28"/>
          <w:szCs w:val="28"/>
          <w:lang w:val="en-US" w:eastAsia="zh-CN"/>
        </w:rPr>
        <w:t>2002年底</w:t>
      </w:r>
      <w:r>
        <w:rPr>
          <w:rFonts w:hint="eastAsia" w:ascii="宋体" w:hAnsi="宋体"/>
          <w:sz w:val="28"/>
          <w:szCs w:val="28"/>
        </w:rPr>
        <w:t>电力体制改革时，整体资产全部划转给国电集团，之后国电集团将除土地以外的其他资产出让给我公司，这样造成了土地、房产权属不一致，导致暂无法办理产权证。</w:t>
      </w:r>
    </w:p>
    <w:p>
      <w:pPr>
        <w:ind w:firstLine="560" w:firstLineChars="200"/>
        <w:contextualSpacing/>
        <w:rPr>
          <w:rFonts w:ascii="宋体" w:hAnsi="宋体"/>
          <w:sz w:val="28"/>
          <w:szCs w:val="28"/>
        </w:rPr>
      </w:pPr>
      <w:r>
        <w:rPr>
          <w:rFonts w:hint="eastAsia" w:ascii="宋体" w:hAnsi="宋体"/>
          <w:sz w:val="28"/>
          <w:szCs w:val="28"/>
        </w:rPr>
        <w:t>（3）荆州公司主要是由于在建设初期，房屋建筑物未及时在当地房管部门备案，故一直没有办理产权证。</w:t>
      </w:r>
    </w:p>
    <w:p>
      <w:pPr>
        <w:ind w:firstLine="560" w:firstLineChars="200"/>
        <w:contextualSpacing/>
        <w:rPr>
          <w:rFonts w:ascii="宋体" w:hAnsi="宋体"/>
          <w:sz w:val="28"/>
          <w:szCs w:val="28"/>
        </w:rPr>
      </w:pPr>
      <w:r>
        <w:rPr>
          <w:rFonts w:hint="eastAsia" w:ascii="宋体" w:hAnsi="宋体"/>
          <w:sz w:val="28"/>
          <w:szCs w:val="28"/>
        </w:rPr>
        <w:t>（4）安兴公司、兴华公司在2009年1月被河南煤业收购前，只办理了办公楼房产证，其他房屋建筑物未办理产权证。收购后由于两公司一直处于停工停产状态，故没有继续补办产权证。</w:t>
      </w:r>
    </w:p>
    <w:p>
      <w:pPr>
        <w:ind w:firstLine="560" w:firstLineChars="200"/>
        <w:contextualSpacing/>
        <w:rPr>
          <w:rFonts w:hint="eastAsia" w:ascii="宋体" w:hAnsi="宋体"/>
          <w:sz w:val="28"/>
          <w:szCs w:val="28"/>
        </w:rPr>
      </w:pPr>
      <w:r>
        <w:rPr>
          <w:rFonts w:hint="eastAsia" w:ascii="宋体" w:hAnsi="宋体"/>
          <w:sz w:val="28"/>
          <w:szCs w:val="28"/>
        </w:rPr>
        <w:t>导致安兴、兴华两公司</w:t>
      </w:r>
      <w:r>
        <w:rPr>
          <w:rFonts w:hint="eastAsia" w:ascii="宋体" w:hAnsi="宋体"/>
          <w:sz w:val="28"/>
          <w:szCs w:val="28"/>
          <w:lang w:eastAsia="zh-CN"/>
        </w:rPr>
        <w:t>持续停工停产</w:t>
      </w:r>
      <w:r>
        <w:rPr>
          <w:rFonts w:hint="eastAsia" w:ascii="宋体" w:hAnsi="宋体"/>
          <w:sz w:val="28"/>
          <w:szCs w:val="28"/>
        </w:rPr>
        <w:t>的主</w:t>
      </w:r>
      <w:r>
        <w:rPr>
          <w:rFonts w:hint="eastAsia" w:ascii="宋体" w:hAnsi="宋体"/>
          <w:sz w:val="28"/>
          <w:szCs w:val="28"/>
          <w:lang w:eastAsia="zh-CN"/>
        </w:rPr>
        <w:t>要原因是</w:t>
      </w:r>
      <w:r>
        <w:rPr>
          <w:rFonts w:hint="eastAsia" w:ascii="宋体" w:hAnsi="宋体" w:cs="宋体"/>
          <w:kern w:val="0"/>
          <w:sz w:val="28"/>
          <w:szCs w:val="28"/>
          <w:lang w:eastAsia="zh-CN"/>
        </w:rPr>
        <w:t>平顶山新华四矿瓦斯爆炸事故、</w:t>
      </w:r>
      <w:r>
        <w:rPr>
          <w:rFonts w:hint="eastAsia" w:ascii="宋体" w:hAnsi="宋体"/>
          <w:sz w:val="28"/>
          <w:szCs w:val="28"/>
        </w:rPr>
        <w:t>河南省</w:t>
      </w:r>
      <w:r>
        <w:rPr>
          <w:rFonts w:hint="eastAsia" w:ascii="宋体" w:hAnsi="宋体" w:cs="宋体"/>
          <w:kern w:val="0"/>
          <w:sz w:val="28"/>
          <w:szCs w:val="28"/>
          <w:lang w:val="zh-CN" w:eastAsia="zh-CN"/>
        </w:rPr>
        <w:t>煤矿安全整顿及</w:t>
      </w:r>
      <w:r>
        <w:rPr>
          <w:rFonts w:hint="eastAsia" w:ascii="宋体" w:hAnsi="宋体"/>
          <w:sz w:val="28"/>
          <w:szCs w:val="28"/>
        </w:rPr>
        <w:t>煤炭资源整合</w:t>
      </w:r>
      <w:r>
        <w:rPr>
          <w:rFonts w:hint="eastAsia" w:ascii="宋体" w:hAnsi="宋体"/>
          <w:sz w:val="28"/>
          <w:szCs w:val="28"/>
          <w:lang w:eastAsia="zh-CN"/>
        </w:rPr>
        <w:t>等因素</w:t>
      </w:r>
      <w:r>
        <w:rPr>
          <w:rFonts w:hint="eastAsia" w:ascii="宋体" w:hAnsi="宋体" w:cs="宋体"/>
          <w:kern w:val="0"/>
          <w:sz w:val="28"/>
          <w:szCs w:val="28"/>
          <w:lang w:eastAsia="zh-CN"/>
        </w:rPr>
        <w:t>。</w:t>
      </w:r>
      <w:r>
        <w:rPr>
          <w:rFonts w:hint="eastAsia" w:ascii="宋体" w:hAnsi="宋体"/>
          <w:sz w:val="28"/>
          <w:szCs w:val="28"/>
        </w:rPr>
        <w:t>2017年，国务院国资委将</w:t>
      </w:r>
      <w:r>
        <w:rPr>
          <w:rFonts w:hint="eastAsia" w:ascii="宋体" w:hAnsi="宋体"/>
          <w:sz w:val="28"/>
          <w:szCs w:val="28"/>
          <w:lang w:eastAsia="zh-CN"/>
        </w:rPr>
        <w:t>两</w:t>
      </w:r>
      <w:r>
        <w:rPr>
          <w:rFonts w:hint="eastAsia" w:ascii="宋体" w:hAnsi="宋体"/>
          <w:sz w:val="28"/>
          <w:szCs w:val="28"/>
        </w:rPr>
        <w:t>公司纳入化解煤炭过剩产能和“僵尸企业”处置范围，所有生产设施实施封闭、拆除。2018年12月4日，两</w:t>
      </w:r>
      <w:r>
        <w:rPr>
          <w:rFonts w:hint="eastAsia" w:ascii="宋体" w:hAnsi="宋体"/>
          <w:sz w:val="28"/>
          <w:szCs w:val="28"/>
          <w:lang w:eastAsia="zh-CN"/>
        </w:rPr>
        <w:t>公司</w:t>
      </w:r>
      <w:r>
        <w:rPr>
          <w:rFonts w:hint="eastAsia" w:ascii="宋体" w:hAnsi="宋体"/>
          <w:sz w:val="28"/>
          <w:szCs w:val="28"/>
        </w:rPr>
        <w:t>“去产能”工作</w:t>
      </w:r>
      <w:r>
        <w:rPr>
          <w:rFonts w:hint="eastAsia" w:ascii="宋体" w:hAnsi="宋体"/>
          <w:sz w:val="28"/>
          <w:szCs w:val="28"/>
          <w:lang w:eastAsia="zh-CN"/>
        </w:rPr>
        <w:t>完成</w:t>
      </w:r>
      <w:r>
        <w:rPr>
          <w:rFonts w:hint="eastAsia" w:ascii="宋体" w:hAnsi="宋体"/>
          <w:sz w:val="28"/>
          <w:szCs w:val="28"/>
        </w:rPr>
        <w:t>现场验收。2018年12月21日，经第八届董事会第二十二次会议审议通过，公司将按照《破产法》等有关法律法规的规定，对河南煤业及其所属安兴、兴华两公司实施破产清算，目前已将案件移送法院申请破产审查</w:t>
      </w:r>
      <w:r>
        <w:rPr>
          <w:rFonts w:hint="eastAsia" w:ascii="宋体" w:hAnsi="宋体"/>
          <w:sz w:val="28"/>
          <w:szCs w:val="28"/>
          <w:lang w:eastAsia="zh-CN"/>
        </w:rPr>
        <w:t>（</w:t>
      </w:r>
      <w:r>
        <w:rPr>
          <w:rFonts w:hint="eastAsia" w:ascii="宋体" w:hAnsi="宋体"/>
          <w:sz w:val="28"/>
          <w:szCs w:val="28"/>
          <w:lang w:val="en-US" w:eastAsia="zh-CN"/>
        </w:rPr>
        <w:t>具体内容详见公司于</w:t>
      </w:r>
      <w:r>
        <w:rPr>
          <w:rFonts w:hint="eastAsia" w:ascii="宋体" w:hAnsi="宋体"/>
          <w:sz w:val="28"/>
          <w:szCs w:val="28"/>
          <w:lang w:val="zh-CN" w:eastAsia="zh-CN"/>
        </w:rPr>
        <w:t>2017年4月15日、6月20日、6月24日、8月21日、9月19日</w:t>
      </w:r>
      <w:r>
        <w:rPr>
          <w:rFonts w:hint="eastAsia" w:ascii="宋体" w:hAnsi="宋体"/>
          <w:sz w:val="28"/>
          <w:szCs w:val="28"/>
          <w:lang w:val="en-US" w:eastAsia="zh-CN"/>
        </w:rPr>
        <w:t>和2018年8月15日、12月22日、12月26日</w:t>
      </w:r>
      <w:r>
        <w:rPr>
          <w:rFonts w:hint="eastAsia" w:ascii="宋体" w:hAnsi="宋体"/>
          <w:sz w:val="28"/>
          <w:szCs w:val="28"/>
          <w:lang w:val="zh-CN" w:eastAsia="zh-CN"/>
        </w:rPr>
        <w:t>在《中国证券报》、《证券时报》和巨潮资讯网上披露的有关公告，公告编号：2017-021、044、049、061、064，</w:t>
      </w:r>
      <w:r>
        <w:rPr>
          <w:rFonts w:hint="eastAsia" w:ascii="宋体" w:hAnsi="宋体"/>
          <w:sz w:val="28"/>
          <w:szCs w:val="28"/>
          <w:lang w:val="en-US" w:eastAsia="zh-CN"/>
        </w:rPr>
        <w:t>2018-033</w:t>
      </w:r>
      <w:r>
        <w:rPr>
          <w:rFonts w:hint="eastAsia" w:ascii="宋体" w:hAnsi="宋体"/>
          <w:sz w:val="28"/>
          <w:szCs w:val="28"/>
          <w:lang w:val="zh-CN" w:eastAsia="zh-CN"/>
        </w:rPr>
        <w:t>、0</w:t>
      </w:r>
      <w:r>
        <w:rPr>
          <w:rFonts w:hint="eastAsia" w:ascii="宋体" w:hAnsi="宋体"/>
          <w:sz w:val="28"/>
          <w:szCs w:val="28"/>
          <w:lang w:val="en-US" w:eastAsia="zh-CN"/>
        </w:rPr>
        <w:t>54、055</w:t>
      </w:r>
      <w:r>
        <w:rPr>
          <w:rFonts w:hint="eastAsia" w:ascii="宋体" w:hAnsi="宋体"/>
          <w:sz w:val="28"/>
          <w:szCs w:val="28"/>
          <w:lang w:eastAsia="zh-CN"/>
        </w:rPr>
        <w:t>）</w:t>
      </w:r>
      <w:r>
        <w:rPr>
          <w:rFonts w:hint="eastAsia" w:ascii="宋体" w:hAnsi="宋体"/>
          <w:sz w:val="28"/>
          <w:szCs w:val="28"/>
        </w:rPr>
        <w:t>。</w:t>
      </w:r>
    </w:p>
    <w:p>
      <w:pPr>
        <w:ind w:firstLine="560" w:firstLineChars="200"/>
        <w:contextualSpacing/>
        <w:rPr>
          <w:rFonts w:ascii="宋体" w:hAnsi="宋体"/>
          <w:sz w:val="28"/>
          <w:szCs w:val="28"/>
        </w:rPr>
      </w:pPr>
      <w:r>
        <w:rPr>
          <w:rFonts w:hint="eastAsia" w:ascii="宋体" w:hAnsi="宋体"/>
          <w:sz w:val="28"/>
          <w:szCs w:val="28"/>
        </w:rPr>
        <w:t>2、对公司生产经营的影响</w:t>
      </w:r>
    </w:p>
    <w:p>
      <w:pPr>
        <w:ind w:firstLine="560" w:firstLineChars="200"/>
        <w:contextualSpacing/>
        <w:rPr>
          <w:rFonts w:ascii="宋体" w:hAnsi="宋体"/>
          <w:sz w:val="28"/>
          <w:szCs w:val="28"/>
        </w:rPr>
      </w:pPr>
      <w:r>
        <w:rPr>
          <w:rFonts w:hint="eastAsia" w:ascii="宋体" w:hAnsi="宋体"/>
          <w:sz w:val="28"/>
          <w:szCs w:val="28"/>
        </w:rPr>
        <w:t>公司尚未办妥产权证书固定资产的权属不存在争议和纠纷，均由公司所属企业正常使用，对公司的生产经营不会产生重大不利影响。</w:t>
      </w:r>
    </w:p>
    <w:p>
      <w:pPr>
        <w:numPr>
          <w:ilvl w:val="0"/>
          <w:numId w:val="1"/>
        </w:numPr>
        <w:ind w:firstLine="560" w:firstLineChars="200"/>
        <w:contextualSpacing/>
        <w:rPr>
          <w:rFonts w:ascii="宋体" w:hAnsi="宋体"/>
          <w:sz w:val="28"/>
          <w:szCs w:val="28"/>
        </w:rPr>
      </w:pPr>
      <w:r>
        <w:rPr>
          <w:rFonts w:hint="eastAsia" w:ascii="宋体" w:hAnsi="宋体"/>
          <w:sz w:val="28"/>
          <w:szCs w:val="28"/>
        </w:rPr>
        <w:t>有关后续安排</w:t>
      </w:r>
    </w:p>
    <w:p>
      <w:pPr>
        <w:ind w:firstLine="560" w:firstLineChars="200"/>
        <w:contextualSpacing/>
        <w:rPr>
          <w:rFonts w:ascii="宋体" w:hAnsi="宋体"/>
          <w:sz w:val="28"/>
          <w:szCs w:val="28"/>
        </w:rPr>
      </w:pPr>
      <w:r>
        <w:rPr>
          <w:rFonts w:hint="eastAsia" w:ascii="宋体" w:hAnsi="宋体"/>
          <w:sz w:val="28"/>
          <w:szCs w:val="28"/>
        </w:rPr>
        <w:t>目前公司所属长源一发、荆门公司、荆州公司正在积极与当地政府规划部门及房管部门协商沟通，争取尽快完成相关产权证的办理。</w:t>
      </w:r>
    </w:p>
    <w:p>
      <w:pPr>
        <w:ind w:firstLine="560" w:firstLineChars="200"/>
        <w:contextualSpacing/>
        <w:rPr>
          <w:rFonts w:ascii="宋体" w:hAnsi="宋体"/>
          <w:sz w:val="28"/>
          <w:szCs w:val="28"/>
        </w:rPr>
      </w:pPr>
      <w:r>
        <w:rPr>
          <w:rFonts w:hint="eastAsia" w:eastAsia="方正仿宋简体" w:cs="宋体"/>
          <w:kern w:val="0"/>
          <w:sz w:val="28"/>
          <w:szCs w:val="28"/>
        </w:rPr>
        <w:t>六、年报显示，你公司报告期</w:t>
      </w:r>
      <w:r>
        <w:rPr>
          <w:rFonts w:hint="eastAsia" w:eastAsia="方正仿宋简体"/>
          <w:sz w:val="28"/>
        </w:rPr>
        <w:t>分季度归属于上市公司股东的净利润分别为</w:t>
      </w:r>
      <w:r>
        <w:rPr>
          <w:rFonts w:eastAsia="方正仿宋简体"/>
          <w:sz w:val="28"/>
        </w:rPr>
        <w:t>0.52</w:t>
      </w:r>
      <w:r>
        <w:rPr>
          <w:rFonts w:hint="eastAsia" w:eastAsia="方正仿宋简体"/>
          <w:sz w:val="28"/>
        </w:rPr>
        <w:t>亿元、</w:t>
      </w:r>
      <w:r>
        <w:rPr>
          <w:rFonts w:eastAsia="方正仿宋简体"/>
          <w:sz w:val="28"/>
        </w:rPr>
        <w:t>-0.28</w:t>
      </w:r>
      <w:r>
        <w:rPr>
          <w:rFonts w:hint="eastAsia" w:eastAsia="方正仿宋简体"/>
          <w:sz w:val="28"/>
        </w:rPr>
        <w:t>亿元、</w:t>
      </w:r>
      <w:r>
        <w:rPr>
          <w:rFonts w:eastAsia="方正仿宋简体"/>
          <w:sz w:val="28"/>
        </w:rPr>
        <w:t>1.45</w:t>
      </w:r>
      <w:r>
        <w:rPr>
          <w:rFonts w:hint="eastAsia" w:eastAsia="方正仿宋简体"/>
          <w:sz w:val="28"/>
        </w:rPr>
        <w:t>亿元和</w:t>
      </w:r>
      <w:r>
        <w:rPr>
          <w:rFonts w:eastAsia="方正仿宋简体"/>
          <w:sz w:val="28"/>
        </w:rPr>
        <w:t>0.39</w:t>
      </w:r>
      <w:r>
        <w:rPr>
          <w:rFonts w:hint="eastAsia" w:eastAsia="方正仿宋简体"/>
          <w:sz w:val="28"/>
        </w:rPr>
        <w:t>亿元，请结合你公司项目所在地区发电政策、生产及上网情况说明报告期内分季度净利润波动较大的原因。</w:t>
      </w:r>
    </w:p>
    <w:p>
      <w:pPr>
        <w:ind w:firstLine="560" w:firstLineChars="200"/>
        <w:contextualSpacing/>
        <w:rPr>
          <w:rFonts w:ascii="宋体" w:hAnsi="宋体"/>
          <w:sz w:val="28"/>
          <w:szCs w:val="28"/>
        </w:rPr>
      </w:pPr>
      <w:r>
        <w:rPr>
          <w:rFonts w:hint="eastAsia" w:ascii="宋体" w:hAnsi="宋体"/>
          <w:sz w:val="28"/>
          <w:szCs w:val="28"/>
        </w:rPr>
        <w:t>答：一般来说，公司分季度归属于上市公司股东的净利润均为三季度最好，二、四季度相对较差，主要是受区域电力供应季节性因素、机组生产检修计划安排及职工薪酬考核等影响所致。具体原因如下：</w:t>
      </w:r>
    </w:p>
    <w:p>
      <w:pPr>
        <w:ind w:firstLine="560" w:firstLineChars="200"/>
        <w:contextualSpacing/>
        <w:rPr>
          <w:rFonts w:ascii="宋体" w:hAnsi="宋体"/>
          <w:sz w:val="28"/>
          <w:szCs w:val="28"/>
        </w:rPr>
      </w:pPr>
      <w:r>
        <w:rPr>
          <w:rFonts w:hint="eastAsia" w:ascii="宋体" w:hAnsi="宋体"/>
          <w:sz w:val="28"/>
          <w:szCs w:val="28"/>
        </w:rPr>
        <w:t>一是发电量波动影响。电力商品具有特殊属性，遵循以需定产的原则，公司主营业务主要为火力发电，机组均按照湖北省电力调度机构下达的指令运行，受不同季节的气温、水情、用电负荷等影响，发电量波动较大。一般来说，一季度和四季度受低温天气和枯水期影响、三季度受高温天气影响，火电发电量较高；二季度汛期到来，水电出力较大，火电发电空间被大幅压缩。2018年，湖北省统调火电设备利用小时4627小时，四个季度电量占比分别为24.5%：19.6%：29.1%：26.8%。公司全年发电量170.93亿千瓦时，四个季度分别为44.4亿千瓦时、31.62亿千瓦时、48.58亿千瓦时、46.33亿千瓦时，占比为26.0%：18.5%：28.4%：27.1%，基本和统调火电季节波动一致，其中三季度最高，比二季度多16.96亿千瓦时，高出近54%。</w:t>
      </w:r>
    </w:p>
    <w:p>
      <w:pPr>
        <w:ind w:firstLine="560" w:firstLineChars="200"/>
        <w:contextualSpacing/>
        <w:rPr>
          <w:rFonts w:ascii="宋体" w:hAnsi="宋体"/>
          <w:sz w:val="28"/>
          <w:szCs w:val="28"/>
        </w:rPr>
      </w:pPr>
      <w:r>
        <w:rPr>
          <w:rFonts w:hint="eastAsia" w:ascii="宋体" w:hAnsi="宋体"/>
          <w:sz w:val="28"/>
          <w:szCs w:val="28"/>
        </w:rPr>
        <w:t>二是机组生产检修</w:t>
      </w:r>
      <w:r>
        <w:rPr>
          <w:rFonts w:hint="eastAsia" w:ascii="宋体" w:hAnsi="宋体"/>
          <w:sz w:val="28"/>
          <w:szCs w:val="28"/>
          <w:lang w:eastAsia="zh-CN"/>
        </w:rPr>
        <w:t>安排影响。</w:t>
      </w:r>
      <w:r>
        <w:rPr>
          <w:rFonts w:hint="eastAsia" w:ascii="宋体" w:hAnsi="宋体"/>
          <w:sz w:val="28"/>
          <w:szCs w:val="28"/>
        </w:rPr>
        <w:t>按照公司整体发电计划，公司火电机组检修项目主要安排在二季度初和四季度初，2018年各季度修理费入账占比分别为9.8%、25.9%、16.4%和47.9%</w:t>
      </w:r>
      <w:r>
        <w:rPr>
          <w:rFonts w:hint="eastAsia" w:ascii="宋体" w:hAnsi="宋体"/>
          <w:sz w:val="28"/>
          <w:szCs w:val="28"/>
          <w:lang w:eastAsia="zh-CN"/>
        </w:rPr>
        <w:t>，</w:t>
      </w:r>
      <w:r>
        <w:rPr>
          <w:rFonts w:hint="eastAsia" w:ascii="宋体" w:hAnsi="宋体"/>
          <w:sz w:val="28"/>
          <w:szCs w:val="28"/>
        </w:rPr>
        <w:t>由于生产成本在二季度、四季度偏高，对相应的季度利润也会产生一定影响。</w:t>
      </w:r>
    </w:p>
    <w:p>
      <w:pPr>
        <w:ind w:firstLine="560" w:firstLineChars="200"/>
        <w:contextualSpacing/>
        <w:rPr>
          <w:rFonts w:ascii="宋体" w:hAnsi="宋体"/>
          <w:sz w:val="28"/>
          <w:szCs w:val="28"/>
        </w:rPr>
      </w:pPr>
      <w:r>
        <w:rPr>
          <w:rFonts w:hint="eastAsia" w:ascii="宋体" w:hAnsi="宋体"/>
          <w:sz w:val="28"/>
          <w:szCs w:val="28"/>
        </w:rPr>
        <w:t>三是职工薪酬考核影响。根据公司年度薪酬计划和考核办法,以企业绩效实际完成情况来进行薪酬的发放，通常上半年职工薪酬开支比重略低,年底比重偏高，2018年各季度职工薪酬入账占比分别为21%、21%、25%、34%。由于人工成本在四季度偏高，对相应的季度利润也会产生一定影响。</w:t>
      </w:r>
    </w:p>
    <w:p>
      <w:pPr>
        <w:pStyle w:val="3"/>
        <w:ind w:firstLine="560" w:firstLineChars="200"/>
        <w:contextualSpacing/>
        <w:rPr>
          <w:rFonts w:hAnsi="宋体" w:cs="仿宋_GB2312-WinCharSetFFFF-H"/>
          <w:kern w:val="0"/>
          <w:sz w:val="28"/>
          <w:szCs w:val="28"/>
        </w:rPr>
      </w:pPr>
      <w:r>
        <w:rPr>
          <w:rFonts w:hint="eastAsia" w:hAnsi="宋体" w:cs="仿宋_GB2312-WinCharSetFFFF-H"/>
          <w:kern w:val="0"/>
          <w:sz w:val="28"/>
          <w:szCs w:val="28"/>
        </w:rPr>
        <w:t>特此复函</w:t>
      </w:r>
    </w:p>
    <w:p>
      <w:pPr>
        <w:ind w:firstLine="560" w:firstLineChars="200"/>
        <w:contextualSpacing/>
        <w:rPr>
          <w:rFonts w:hint="eastAsia" w:ascii="宋体" w:hAnsi="宋体"/>
          <w:sz w:val="28"/>
          <w:szCs w:val="28"/>
          <w:lang w:eastAsia="zh-CN"/>
        </w:rPr>
      </w:pPr>
    </w:p>
    <w:p>
      <w:pPr>
        <w:ind w:firstLine="560" w:firstLineChars="200"/>
        <w:contextualSpacing/>
        <w:rPr>
          <w:rFonts w:hint="eastAsia" w:ascii="宋体" w:hAnsi="宋体"/>
          <w:sz w:val="28"/>
          <w:szCs w:val="28"/>
          <w:lang w:eastAsia="zh-CN"/>
        </w:rPr>
      </w:pPr>
      <w:r>
        <w:rPr>
          <w:rFonts w:hint="eastAsia" w:ascii="宋体" w:hAnsi="宋体"/>
          <w:sz w:val="28"/>
          <w:szCs w:val="28"/>
          <w:lang w:eastAsia="zh-CN"/>
        </w:rPr>
        <w:t>附件：</w:t>
      </w:r>
      <w:r>
        <w:rPr>
          <w:rFonts w:hint="eastAsia" w:ascii="宋体" w:hAnsi="宋体"/>
          <w:sz w:val="28"/>
          <w:szCs w:val="28"/>
        </w:rPr>
        <w:t>瑞华会计师事务所（特殊普通合伙）关于深圳证券交易所对国电长源电力股份有限公司2018年年报问询函</w:t>
      </w:r>
      <w:r>
        <w:rPr>
          <w:rFonts w:hint="eastAsia" w:ascii="宋体" w:hAnsi="宋体"/>
          <w:sz w:val="28"/>
          <w:szCs w:val="28"/>
          <w:lang w:eastAsia="zh-CN"/>
        </w:rPr>
        <w:t>所涉问题的核查意见</w:t>
      </w:r>
    </w:p>
    <w:p>
      <w:pPr>
        <w:pStyle w:val="3"/>
        <w:ind w:firstLine="560" w:firstLineChars="200"/>
        <w:contextualSpacing/>
        <w:rPr>
          <w:rFonts w:hint="eastAsia" w:hAnsi="宋体" w:cs="仿宋_GB2312-WinCharSetFFFF-H"/>
          <w:kern w:val="0"/>
          <w:sz w:val="28"/>
          <w:szCs w:val="28"/>
          <w:lang w:eastAsia="zh-CN"/>
        </w:rPr>
      </w:pPr>
    </w:p>
    <w:p>
      <w:pPr>
        <w:pStyle w:val="3"/>
        <w:ind w:firstLine="560" w:firstLineChars="200"/>
        <w:contextualSpacing/>
        <w:rPr>
          <w:rFonts w:hint="eastAsia" w:hAnsi="宋体" w:cs="仿宋_GB2312-WinCharSetFFFF-H"/>
          <w:kern w:val="0"/>
          <w:sz w:val="28"/>
          <w:szCs w:val="28"/>
          <w:lang w:eastAsia="zh-CN"/>
        </w:rPr>
      </w:pPr>
    </w:p>
    <w:p>
      <w:pPr>
        <w:pStyle w:val="3"/>
        <w:ind w:firstLine="560" w:firstLineChars="200"/>
        <w:contextualSpacing/>
        <w:jc w:val="right"/>
        <w:rPr>
          <w:rFonts w:hAnsi="宋体" w:cs="仿宋_GB2312-WinCharSetFFFF-H"/>
          <w:kern w:val="0"/>
          <w:sz w:val="28"/>
          <w:szCs w:val="28"/>
        </w:rPr>
      </w:pPr>
      <w:r>
        <w:rPr>
          <w:rFonts w:hint="eastAsia" w:hAnsi="宋体" w:cs="仿宋_GB2312-WinCharSetFFFF-H"/>
          <w:kern w:val="0"/>
          <w:sz w:val="28"/>
          <w:szCs w:val="28"/>
        </w:rPr>
        <w:t>国电长源电力股份有限公司董事会</w:t>
      </w:r>
    </w:p>
    <w:p>
      <w:pPr>
        <w:pStyle w:val="3"/>
        <w:wordWrap w:val="0"/>
        <w:ind w:firstLine="560" w:firstLineChars="200"/>
        <w:contextualSpacing/>
        <w:jc w:val="center"/>
        <w:rPr>
          <w:rFonts w:hAnsi="宋体" w:cs="仿宋_GB2312-WinCharSetFFFF-H"/>
          <w:kern w:val="0"/>
          <w:sz w:val="28"/>
          <w:szCs w:val="28"/>
        </w:rPr>
      </w:pPr>
      <w:r>
        <w:rPr>
          <w:rFonts w:hint="eastAsia" w:hAnsi="宋体" w:cs="仿宋_GB2312-WinCharSetFFFF-H"/>
          <w:kern w:val="0"/>
          <w:sz w:val="28"/>
          <w:szCs w:val="28"/>
          <w:lang w:val="en-US" w:eastAsia="zh-CN"/>
        </w:rPr>
        <w:t xml:space="preserve">                                </w:t>
      </w:r>
      <w:r>
        <w:rPr>
          <w:rFonts w:hAnsi="宋体" w:cs="仿宋_GB2312-WinCharSetFFFF-H"/>
          <w:kern w:val="0"/>
          <w:sz w:val="28"/>
          <w:szCs w:val="28"/>
        </w:rPr>
        <w:t>201</w:t>
      </w:r>
      <w:r>
        <w:rPr>
          <w:rFonts w:hint="eastAsia" w:hAnsi="宋体" w:cs="仿宋_GB2312-WinCharSetFFFF-H"/>
          <w:kern w:val="0"/>
          <w:sz w:val="28"/>
          <w:szCs w:val="28"/>
        </w:rPr>
        <w:t>9</w:t>
      </w:r>
      <w:r>
        <w:rPr>
          <w:rFonts w:hAnsi="宋体" w:cs="仿宋_GB2312-WinCharSetFFFF-H"/>
          <w:kern w:val="0"/>
          <w:sz w:val="28"/>
          <w:szCs w:val="28"/>
        </w:rPr>
        <w:t>年</w:t>
      </w:r>
      <w:r>
        <w:rPr>
          <w:rFonts w:hint="eastAsia" w:hAnsi="宋体" w:cs="仿宋_GB2312-WinCharSetFFFF-H"/>
          <w:kern w:val="0"/>
          <w:sz w:val="28"/>
          <w:szCs w:val="28"/>
        </w:rPr>
        <w:t>4</w:t>
      </w:r>
      <w:r>
        <w:rPr>
          <w:rFonts w:hAnsi="宋体" w:cs="仿宋_GB2312-WinCharSetFFFF-H"/>
          <w:kern w:val="0"/>
          <w:sz w:val="28"/>
          <w:szCs w:val="28"/>
        </w:rPr>
        <w:t>月</w:t>
      </w:r>
      <w:r>
        <w:rPr>
          <w:rFonts w:hint="eastAsia" w:hAnsi="宋体" w:cs="仿宋_GB2312-WinCharSetFFFF-H"/>
          <w:kern w:val="0"/>
          <w:sz w:val="28"/>
          <w:szCs w:val="28"/>
          <w:lang w:val="en-US" w:eastAsia="zh-CN"/>
        </w:rPr>
        <w:t>20</w:t>
      </w:r>
      <w:r>
        <w:rPr>
          <w:rFonts w:hAnsi="宋体" w:cs="仿宋_GB2312-WinCharSetFFFF-H"/>
          <w:kern w:val="0"/>
          <w:sz w:val="28"/>
          <w:szCs w:val="28"/>
        </w:rPr>
        <w:t>日</w:t>
      </w:r>
    </w:p>
    <w:p/>
    <w:sectPr>
      <w:pgSz w:w="11906" w:h="16838"/>
      <w:pgMar w:top="964" w:right="1417" w:bottom="964" w:left="1417" w:header="851"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WinCharSetFFFF-H">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5FC72"/>
    <w:multiLevelType w:val="singleLevel"/>
    <w:tmpl w:val="7375FC7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2E3813"/>
    <w:rsid w:val="00177C92"/>
    <w:rsid w:val="00290941"/>
    <w:rsid w:val="004B4CAF"/>
    <w:rsid w:val="00707442"/>
    <w:rsid w:val="00D01DEC"/>
    <w:rsid w:val="00D45002"/>
    <w:rsid w:val="02DB52BD"/>
    <w:rsid w:val="032A06FB"/>
    <w:rsid w:val="03F97604"/>
    <w:rsid w:val="05F834BB"/>
    <w:rsid w:val="067A5377"/>
    <w:rsid w:val="097E2890"/>
    <w:rsid w:val="099D3768"/>
    <w:rsid w:val="09B23D6D"/>
    <w:rsid w:val="0B0313D4"/>
    <w:rsid w:val="0C9D3522"/>
    <w:rsid w:val="0D7E7E68"/>
    <w:rsid w:val="0E9A1791"/>
    <w:rsid w:val="0F577059"/>
    <w:rsid w:val="0F7F5592"/>
    <w:rsid w:val="101877A6"/>
    <w:rsid w:val="10503F7E"/>
    <w:rsid w:val="11EE0D96"/>
    <w:rsid w:val="1214429D"/>
    <w:rsid w:val="151D66BC"/>
    <w:rsid w:val="16976AA6"/>
    <w:rsid w:val="17521616"/>
    <w:rsid w:val="17FC0062"/>
    <w:rsid w:val="18F66EAE"/>
    <w:rsid w:val="198E5FB3"/>
    <w:rsid w:val="199036EB"/>
    <w:rsid w:val="1C103880"/>
    <w:rsid w:val="1DE1520B"/>
    <w:rsid w:val="1E83346C"/>
    <w:rsid w:val="22401E1E"/>
    <w:rsid w:val="22B84538"/>
    <w:rsid w:val="23386D99"/>
    <w:rsid w:val="23E174CF"/>
    <w:rsid w:val="23FD4968"/>
    <w:rsid w:val="25650AA7"/>
    <w:rsid w:val="261F11E1"/>
    <w:rsid w:val="263C3DEB"/>
    <w:rsid w:val="265F13B7"/>
    <w:rsid w:val="285B2042"/>
    <w:rsid w:val="290A7F2A"/>
    <w:rsid w:val="296621B6"/>
    <w:rsid w:val="2AA607D0"/>
    <w:rsid w:val="2ACF4E96"/>
    <w:rsid w:val="2AFB743D"/>
    <w:rsid w:val="2C2E3813"/>
    <w:rsid w:val="2D200395"/>
    <w:rsid w:val="2D82591C"/>
    <w:rsid w:val="2D837B74"/>
    <w:rsid w:val="2DF96097"/>
    <w:rsid w:val="33981BE7"/>
    <w:rsid w:val="35205DB5"/>
    <w:rsid w:val="35AB2096"/>
    <w:rsid w:val="35E035D9"/>
    <w:rsid w:val="36EA13C2"/>
    <w:rsid w:val="38CA6FED"/>
    <w:rsid w:val="390C67BF"/>
    <w:rsid w:val="39381FC6"/>
    <w:rsid w:val="3AE61499"/>
    <w:rsid w:val="3BCC27CC"/>
    <w:rsid w:val="3C0D39B5"/>
    <w:rsid w:val="3DF03D93"/>
    <w:rsid w:val="3E934498"/>
    <w:rsid w:val="40AB6F7E"/>
    <w:rsid w:val="42737B66"/>
    <w:rsid w:val="45F8783E"/>
    <w:rsid w:val="46934808"/>
    <w:rsid w:val="47AE30AD"/>
    <w:rsid w:val="47D442CE"/>
    <w:rsid w:val="48CB08D3"/>
    <w:rsid w:val="490347F7"/>
    <w:rsid w:val="49416DF6"/>
    <w:rsid w:val="49E35F30"/>
    <w:rsid w:val="4B121696"/>
    <w:rsid w:val="4C01437F"/>
    <w:rsid w:val="4C3C5728"/>
    <w:rsid w:val="4D574B31"/>
    <w:rsid w:val="4F9C1DF6"/>
    <w:rsid w:val="50901E0F"/>
    <w:rsid w:val="51502E00"/>
    <w:rsid w:val="516F5BC6"/>
    <w:rsid w:val="517376C8"/>
    <w:rsid w:val="545E005A"/>
    <w:rsid w:val="54906DDD"/>
    <w:rsid w:val="55023F28"/>
    <w:rsid w:val="558E02DF"/>
    <w:rsid w:val="55C01E0A"/>
    <w:rsid w:val="564A7617"/>
    <w:rsid w:val="579C4B64"/>
    <w:rsid w:val="57EA00F6"/>
    <w:rsid w:val="59F40151"/>
    <w:rsid w:val="5A4469BD"/>
    <w:rsid w:val="5BF40123"/>
    <w:rsid w:val="5D0B14D0"/>
    <w:rsid w:val="5DAD0B9F"/>
    <w:rsid w:val="5EA76370"/>
    <w:rsid w:val="5FAD0FF4"/>
    <w:rsid w:val="60370FC0"/>
    <w:rsid w:val="605664C6"/>
    <w:rsid w:val="60824162"/>
    <w:rsid w:val="60D0116F"/>
    <w:rsid w:val="61670D13"/>
    <w:rsid w:val="664A4607"/>
    <w:rsid w:val="66C00654"/>
    <w:rsid w:val="67410C15"/>
    <w:rsid w:val="674F68A0"/>
    <w:rsid w:val="675113C5"/>
    <w:rsid w:val="69475092"/>
    <w:rsid w:val="6B6248DC"/>
    <w:rsid w:val="6C2164F7"/>
    <w:rsid w:val="6E5D2C91"/>
    <w:rsid w:val="6E831A1C"/>
    <w:rsid w:val="6F416C7D"/>
    <w:rsid w:val="6F710EED"/>
    <w:rsid w:val="71770945"/>
    <w:rsid w:val="71C1426B"/>
    <w:rsid w:val="71F7270E"/>
    <w:rsid w:val="733C6E66"/>
    <w:rsid w:val="73D94061"/>
    <w:rsid w:val="750D2516"/>
    <w:rsid w:val="75C540AE"/>
    <w:rsid w:val="76641886"/>
    <w:rsid w:val="7787494A"/>
    <w:rsid w:val="79E01D35"/>
    <w:rsid w:val="7A820DFA"/>
    <w:rsid w:val="7BF300B9"/>
    <w:rsid w:val="7C7D6CA1"/>
    <w:rsid w:val="7CD66994"/>
    <w:rsid w:val="7CEE7468"/>
    <w:rsid w:val="7D1D47A6"/>
    <w:rsid w:val="7D3351A3"/>
    <w:rsid w:val="7F4F7D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qFormat/>
    <w:uiPriority w:val="99"/>
    <w:rPr>
      <w:rFonts w:ascii="宋体" w:hAnsi="Courier New" w:cs="Courier New"/>
      <w:szCs w:val="21"/>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character" w:styleId="9">
    <w:name w:val="annotation reference"/>
    <w:basedOn w:val="8"/>
    <w:semiHidden/>
    <w:unhideWhenUsed/>
    <w:qFormat/>
    <w:uiPriority w:val="99"/>
    <w:rPr>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正文格式"/>
    <w:basedOn w:val="1"/>
    <w:qFormat/>
    <w:uiPriority w:val="0"/>
    <w:pPr>
      <w:spacing w:line="360" w:lineRule="exact"/>
      <w:ind w:firstLine="420" w:firstLineChars="200"/>
    </w:pPr>
    <w:rPr>
      <w:kern w:val="0"/>
      <w:szCs w:val="21"/>
    </w:rPr>
  </w:style>
  <w:style w:type="character" w:customStyle="1" w:styleId="13">
    <w:name w:val="批注框文本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fa16890-62bc-46c7-a80f-cb89de74e428}"/>
        <w:style w:val=""/>
        <w:category>
          <w:name w:val="常规"/>
          <w:gallery w:val="placeholder"/>
        </w:category>
        <w:types>
          <w:type w:val="bbPlcHdr"/>
        </w:types>
        <w:behaviors>
          <w:behavior w:val="content"/>
        </w:behaviors>
        <w:description w:val=""/>
        <w:guid w:val="{BFA16890-62BC-46C7-A80F-CB89DE74E428}"/>
      </w:docPartPr>
      <w:docPartBody>
        <w:p>
          <w:pPr>
            <w:pStyle w:val="4"/>
          </w:pPr>
          <w:r>
            <w:rPr>
              <w:rStyle w:val="5"/>
              <w:rFonts w:hint="eastAsia"/>
            </w:rPr>
            <w:t>单击此处输入文字。</w:t>
          </w:r>
        </w:p>
      </w:docPartBody>
    </w:docPart>
    <w:docPart>
      <w:docPartPr>
        <w:name w:val="{2f1fa4cc-73f2-499d-8795-23231cbe218a}"/>
        <w:style w:val=""/>
        <w:category>
          <w:name w:val="常规"/>
          <w:gallery w:val="placeholder"/>
        </w:category>
        <w:types>
          <w:type w:val="bbPlcHdr"/>
        </w:types>
        <w:behaviors>
          <w:behavior w:val="content"/>
        </w:behaviors>
        <w:description w:val=""/>
        <w:guid w:val="{2F1FA4CC-73F2-499D-8795-23231CBE218A}"/>
      </w:docPartPr>
      <w:docPartBody>
        <w:p>
          <w:pPr>
            <w:pStyle w:val="6"/>
          </w:pPr>
          <w:r>
            <w:rPr>
              <w:rStyle w:val="5"/>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EF6651"/>
    <w:rsid w:val="00EF66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DBA8ECE32E3D4484BE8E4DFC1BDAAFE7"/>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style>
  <w:style w:type="paragraph" w:customStyle="1" w:styleId="6">
    <w:name w:val="6C000CF8F8074FBCAA4CB3FE0843AC7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1402</Words>
  <Characters>7993</Characters>
  <Lines>66</Lines>
  <Paragraphs>18</Paragraphs>
  <TotalTime>4</TotalTime>
  <ScaleCrop>false</ScaleCrop>
  <LinksUpToDate>false</LinksUpToDate>
  <CharactersWithSpaces>9377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2019-04-16T00:54:00Z</dcterms:created>
  <dc:creator>周峰</dc:creator>
  <cp:lastModifiedBy>毋亮</cp:lastModifiedBy>
  <dcterms:modified xsi:type="dcterms:W3CDTF">2019-04-19T10:30:32Z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