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ind w:firstLine="540"/>
        <w:jc w:val="center"/>
        <w:rPr>
          <w:rFonts w:hint="default" w:eastAsia="宋体"/>
          <w:sz w:val="24"/>
          <w:lang w:val="en-US" w:eastAsia="zh-CN"/>
        </w:rPr>
      </w:pPr>
      <w:r>
        <w:rPr>
          <w:rFonts w:hAnsi="宋体"/>
          <w:sz w:val="24"/>
        </w:rPr>
        <w:t>证券代码：</w:t>
      </w:r>
      <w:r>
        <w:rPr>
          <w:sz w:val="24"/>
        </w:rPr>
        <w:t xml:space="preserve">000966         </w:t>
      </w:r>
      <w:r>
        <w:rPr>
          <w:rFonts w:hAnsi="宋体"/>
          <w:sz w:val="24"/>
        </w:rPr>
        <w:t>证券简称：长源电力</w:t>
      </w:r>
      <w:r>
        <w:rPr>
          <w:sz w:val="24"/>
        </w:rPr>
        <w:t xml:space="preserve">      </w:t>
      </w:r>
      <w:r>
        <w:rPr>
          <w:rFonts w:hAnsi="宋体"/>
          <w:sz w:val="24"/>
        </w:rPr>
        <w:t>公告编号：</w:t>
      </w:r>
      <w:r>
        <w:rPr>
          <w:sz w:val="24"/>
        </w:rPr>
        <w:t>201</w:t>
      </w:r>
      <w:r>
        <w:rPr>
          <w:rFonts w:hint="eastAsia"/>
          <w:sz w:val="24"/>
          <w:lang w:val="en-US" w:eastAsia="zh-CN"/>
        </w:rPr>
        <w:t>9</w:t>
      </w:r>
      <w:r>
        <w:rPr>
          <w:sz w:val="24"/>
        </w:rPr>
        <w:t>-0</w:t>
      </w:r>
      <w:r>
        <w:rPr>
          <w:rFonts w:hint="eastAsia"/>
          <w:sz w:val="24"/>
          <w:lang w:val="en-US" w:eastAsia="zh-CN"/>
        </w:rPr>
        <w:t>32</w:t>
      </w:r>
    </w:p>
    <w:p>
      <w:pPr>
        <w:adjustRightInd w:val="0"/>
        <w:snapToGrid w:val="0"/>
        <w:jc w:val="center"/>
        <w:rPr>
          <w:rFonts w:ascii="宋体" w:hAnsi="宋体" w:cs="宋体"/>
          <w:b/>
          <w:color w:val="000000"/>
          <w:kern w:val="0"/>
          <w:sz w:val="24"/>
        </w:rPr>
      </w:pPr>
    </w:p>
    <w:p>
      <w:pPr>
        <w:adjustRightInd w:val="0"/>
        <w:snapToGrid w:val="0"/>
        <w:jc w:val="center"/>
        <w:rPr>
          <w:rFonts w:ascii="宋体" w:hAnsi="宋体" w:cs="宋体"/>
          <w:b/>
          <w:color w:val="000000"/>
          <w:kern w:val="0"/>
          <w:sz w:val="32"/>
        </w:rPr>
      </w:pPr>
      <w:r>
        <w:rPr>
          <w:rFonts w:ascii="宋体" w:hAnsi="宋体" w:cs="宋体"/>
          <w:b/>
          <w:color w:val="000000"/>
          <w:kern w:val="0"/>
          <w:sz w:val="32"/>
        </w:rPr>
        <w:t>国电长源电力股份有限公司</w:t>
      </w:r>
    </w:p>
    <w:p>
      <w:pPr>
        <w:adjustRightInd w:val="0"/>
        <w:snapToGrid w:val="0"/>
        <w:jc w:val="center"/>
        <w:rPr>
          <w:rFonts w:ascii="宋体" w:hAnsi="宋体" w:cs="宋体"/>
          <w:b/>
          <w:color w:val="000000"/>
          <w:kern w:val="0"/>
          <w:sz w:val="32"/>
        </w:rPr>
      </w:pPr>
      <w:r>
        <w:rPr>
          <w:rFonts w:hint="eastAsia" w:ascii="宋体" w:hAnsi="宋体" w:cs="宋体"/>
          <w:b/>
          <w:color w:val="000000"/>
          <w:kern w:val="0"/>
          <w:sz w:val="32"/>
        </w:rPr>
        <w:t>关于会计政策</w:t>
      </w:r>
      <w:r>
        <w:rPr>
          <w:rFonts w:ascii="宋体" w:hAnsi="宋体" w:cs="宋体"/>
          <w:b/>
          <w:color w:val="000000"/>
          <w:kern w:val="0"/>
          <w:sz w:val="32"/>
        </w:rPr>
        <w:t>变更</w:t>
      </w:r>
      <w:r>
        <w:rPr>
          <w:rFonts w:hint="eastAsia" w:ascii="宋体" w:hAnsi="宋体" w:cs="宋体"/>
          <w:b/>
          <w:color w:val="000000"/>
          <w:kern w:val="0"/>
          <w:sz w:val="32"/>
        </w:rPr>
        <w:t>的公告</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7" w:hRule="atLeast"/>
        </w:trPr>
        <w:tc>
          <w:tcPr>
            <w:tcW w:w="8613" w:type="dxa"/>
            <w:shd w:val="clear" w:color="auto" w:fill="FFFFFF"/>
            <w:vAlign w:val="center"/>
          </w:tcPr>
          <w:p>
            <w:pPr>
              <w:pStyle w:val="2"/>
              <w:adjustRightInd w:val="0"/>
              <w:snapToGrid w:val="0"/>
              <w:spacing w:after="0" w:line="240" w:lineRule="auto"/>
              <w:ind w:left="0" w:leftChars="0" w:firstLine="480" w:firstLineChars="200"/>
              <w:rPr>
                <w:rFonts w:ascii="宋体" w:hAnsi="宋体"/>
                <w:bCs/>
                <w:sz w:val="24"/>
              </w:rPr>
            </w:pPr>
            <w:r>
              <w:rPr>
                <w:rFonts w:hint="eastAsia" w:ascii="宋体" w:hAnsi="宋体"/>
                <w:sz w:val="24"/>
              </w:rPr>
              <w:t>本公司及董事会全体成员保证信息披露的内容真实、准确、完整，没有虚假记载、误导性陈述或重大遗漏。</w:t>
            </w:r>
          </w:p>
        </w:tc>
      </w:tr>
    </w:tbl>
    <w:p>
      <w:pPr>
        <w:pStyle w:val="8"/>
        <w:snapToGrid w:val="0"/>
        <w:rPr>
          <w:sz w:val="28"/>
        </w:rPr>
      </w:pPr>
    </w:p>
    <w:p>
      <w:pPr>
        <w:pStyle w:val="8"/>
        <w:spacing w:line="400" w:lineRule="exact"/>
        <w:ind w:firstLine="560" w:firstLineChars="200"/>
        <w:rPr>
          <w:rFonts w:hAnsi="宋体"/>
          <w:sz w:val="28"/>
        </w:rPr>
      </w:pPr>
      <w:r>
        <w:rPr>
          <w:rFonts w:hint="eastAsia" w:hAnsi="宋体"/>
          <w:sz w:val="28"/>
        </w:rPr>
        <w:t>公司于</w:t>
      </w:r>
      <w:r>
        <w:rPr>
          <w:rFonts w:hAnsi="宋体"/>
          <w:sz w:val="28"/>
        </w:rPr>
        <w:t>201</w:t>
      </w:r>
      <w:r>
        <w:rPr>
          <w:rFonts w:hint="eastAsia" w:hAnsi="宋体"/>
          <w:sz w:val="28"/>
          <w:lang w:val="en-US" w:eastAsia="zh-CN"/>
        </w:rPr>
        <w:t>9</w:t>
      </w:r>
      <w:r>
        <w:rPr>
          <w:rFonts w:hint="eastAsia" w:hAnsi="宋体"/>
          <w:sz w:val="28"/>
        </w:rPr>
        <w:t>年4月</w:t>
      </w:r>
      <w:r>
        <w:rPr>
          <w:rFonts w:hint="eastAsia" w:hAnsi="宋体"/>
          <w:sz w:val="28"/>
          <w:lang w:val="en-US" w:eastAsia="zh-CN"/>
        </w:rPr>
        <w:t>23</w:t>
      </w:r>
      <w:r>
        <w:rPr>
          <w:rFonts w:hint="eastAsia" w:hAnsi="宋体"/>
          <w:sz w:val="28"/>
        </w:rPr>
        <w:t>日召开第八届董事会第</w:t>
      </w:r>
      <w:r>
        <w:rPr>
          <w:rFonts w:hint="eastAsia" w:hAnsi="宋体"/>
          <w:sz w:val="28"/>
          <w:lang w:val="en-US" w:eastAsia="zh-CN"/>
        </w:rPr>
        <w:t>二十五</w:t>
      </w:r>
      <w:r>
        <w:rPr>
          <w:rFonts w:hint="eastAsia" w:hAnsi="宋体"/>
          <w:sz w:val="28"/>
        </w:rPr>
        <w:t>次会议，审议通过了《关于公司会计政策变更的议案》，现将具体内容公告如下：</w:t>
      </w:r>
      <w:r>
        <w:rPr>
          <w:rFonts w:hAnsi="宋体"/>
          <w:sz w:val="28"/>
        </w:rPr>
        <w:t xml:space="preserve"> </w:t>
      </w:r>
    </w:p>
    <w:p>
      <w:pPr>
        <w:pStyle w:val="8"/>
        <w:snapToGrid w:val="0"/>
        <w:spacing w:line="400" w:lineRule="exact"/>
        <w:ind w:firstLine="562" w:firstLineChars="200"/>
        <w:rPr>
          <w:rFonts w:hAnsi="宋体"/>
          <w:b/>
          <w:color w:val="auto"/>
          <w:sz w:val="28"/>
        </w:rPr>
      </w:pPr>
      <w:r>
        <w:rPr>
          <w:rFonts w:hint="eastAsia" w:hAnsi="宋体"/>
          <w:b/>
          <w:color w:val="auto"/>
          <w:sz w:val="28"/>
        </w:rPr>
        <w:t>一、</w:t>
      </w:r>
      <w:r>
        <w:rPr>
          <w:rFonts w:hint="eastAsia" w:hAnsi="宋体"/>
          <w:b/>
          <w:sz w:val="28"/>
        </w:rPr>
        <w:t>本次会计政策变更情况概述</w:t>
      </w:r>
    </w:p>
    <w:p>
      <w:pPr>
        <w:pStyle w:val="8"/>
        <w:spacing w:line="400" w:lineRule="exact"/>
        <w:ind w:firstLine="562" w:firstLineChars="200"/>
        <w:rPr>
          <w:rFonts w:hAnsi="宋体"/>
          <w:b/>
          <w:sz w:val="28"/>
        </w:rPr>
      </w:pPr>
      <w:r>
        <w:rPr>
          <w:rFonts w:hAnsi="宋体"/>
          <w:b/>
          <w:sz w:val="28"/>
        </w:rPr>
        <w:t>1</w:t>
      </w:r>
      <w:r>
        <w:rPr>
          <w:rFonts w:hint="eastAsia" w:hAnsi="宋体"/>
          <w:b/>
          <w:sz w:val="28"/>
          <w:lang w:val="en-US" w:eastAsia="zh-CN"/>
        </w:rPr>
        <w:t>.</w:t>
      </w:r>
      <w:r>
        <w:rPr>
          <w:rFonts w:hint="eastAsia" w:hAnsi="宋体"/>
          <w:b/>
          <w:sz w:val="28"/>
        </w:rPr>
        <w:t>会计政策变更的原因与变更日期</w:t>
      </w:r>
    </w:p>
    <w:p>
      <w:pPr>
        <w:pStyle w:val="8"/>
        <w:spacing w:line="400" w:lineRule="exact"/>
        <w:ind w:firstLine="560" w:firstLineChars="200"/>
        <w:rPr>
          <w:rFonts w:hint="eastAsia" w:hAnsi="宋体"/>
          <w:sz w:val="28"/>
        </w:rPr>
      </w:pPr>
      <w:r>
        <w:rPr>
          <w:rFonts w:hint="eastAsia" w:hAnsi="宋体"/>
          <w:sz w:val="28"/>
        </w:rPr>
        <w:t>财政部于2017年修订发布</w:t>
      </w:r>
      <w:r>
        <w:rPr>
          <w:rFonts w:hint="eastAsia" w:hAnsi="宋体"/>
          <w:sz w:val="28"/>
          <w:lang w:val="en-US" w:eastAsia="zh-CN"/>
        </w:rPr>
        <w:t>了</w:t>
      </w:r>
      <w:r>
        <w:rPr>
          <w:rFonts w:hint="eastAsia" w:hAnsi="宋体"/>
          <w:sz w:val="28"/>
        </w:rPr>
        <w:t>《企业会计准则第22号——金融工具确认和计量》、《企业会计准则第23号——金融资产转移》、《企业会计准则第24号——套期会计》、《企业会计准则第37号——金融工具列报》</w:t>
      </w:r>
      <w:r>
        <w:rPr>
          <w:rFonts w:hint="eastAsia" w:hAnsi="宋体"/>
          <w:sz w:val="28"/>
          <w:lang w:eastAsia="zh-CN"/>
        </w:rPr>
        <w:t>，</w:t>
      </w:r>
      <w:r>
        <w:rPr>
          <w:rFonts w:hint="eastAsia" w:hAnsi="宋体"/>
          <w:sz w:val="28"/>
          <w:lang w:val="en-US" w:eastAsia="zh-CN"/>
        </w:rPr>
        <w:t>要求境内上市企业自2019年1月1日起施行</w:t>
      </w:r>
      <w:r>
        <w:rPr>
          <w:rFonts w:hint="eastAsia" w:hAnsi="宋体"/>
          <w:sz w:val="28"/>
        </w:rPr>
        <w:t>。</w:t>
      </w:r>
    </w:p>
    <w:p>
      <w:pPr>
        <w:pStyle w:val="8"/>
        <w:spacing w:line="400" w:lineRule="exact"/>
        <w:ind w:firstLine="562" w:firstLineChars="200"/>
        <w:outlineLvl w:val="0"/>
        <w:rPr>
          <w:rFonts w:hAnsi="宋体"/>
          <w:b/>
          <w:sz w:val="28"/>
        </w:rPr>
      </w:pPr>
      <w:r>
        <w:rPr>
          <w:rFonts w:hAnsi="宋体"/>
          <w:b/>
          <w:sz w:val="28"/>
        </w:rPr>
        <w:t>2</w:t>
      </w:r>
      <w:r>
        <w:rPr>
          <w:rFonts w:hint="eastAsia" w:hAnsi="宋体"/>
          <w:b/>
          <w:sz w:val="28"/>
          <w:lang w:val="en-US" w:eastAsia="zh-CN"/>
        </w:rPr>
        <w:t>.</w:t>
      </w:r>
      <w:r>
        <w:rPr>
          <w:rFonts w:hint="eastAsia" w:hAnsi="宋体"/>
          <w:b/>
          <w:sz w:val="28"/>
        </w:rPr>
        <w:t>变更前采用的会计政策</w:t>
      </w:r>
    </w:p>
    <w:p>
      <w:pPr>
        <w:pStyle w:val="8"/>
        <w:spacing w:line="400" w:lineRule="exact"/>
        <w:ind w:firstLine="560" w:firstLineChars="200"/>
        <w:rPr>
          <w:rFonts w:hAnsi="宋体"/>
          <w:sz w:val="28"/>
        </w:rPr>
      </w:pPr>
      <w:r>
        <w:rPr>
          <w:rFonts w:hint="eastAsia" w:hAnsi="宋体"/>
          <w:sz w:val="28"/>
        </w:rPr>
        <w:t>本次变更前，公司执行财政部发布的《企业会计准则——基本准则》和各项具体会计准则、企业会计准则应用指南、企业会计准则解释公告以及其他相关规定。</w:t>
      </w:r>
    </w:p>
    <w:p>
      <w:pPr>
        <w:pStyle w:val="8"/>
        <w:spacing w:line="400" w:lineRule="exact"/>
        <w:ind w:firstLine="562" w:firstLineChars="200"/>
        <w:outlineLvl w:val="0"/>
        <w:rPr>
          <w:rFonts w:hAnsi="宋体"/>
          <w:b/>
          <w:sz w:val="28"/>
        </w:rPr>
      </w:pPr>
      <w:r>
        <w:rPr>
          <w:rFonts w:hAnsi="宋体"/>
          <w:b/>
          <w:sz w:val="28"/>
        </w:rPr>
        <w:t>3</w:t>
      </w:r>
      <w:r>
        <w:rPr>
          <w:rFonts w:hint="eastAsia" w:hAnsi="宋体"/>
          <w:b/>
          <w:sz w:val="28"/>
          <w:lang w:val="en-US" w:eastAsia="zh-CN"/>
        </w:rPr>
        <w:t>.</w:t>
      </w:r>
      <w:r>
        <w:rPr>
          <w:rFonts w:hint="eastAsia" w:hAnsi="宋体"/>
          <w:b/>
          <w:sz w:val="28"/>
        </w:rPr>
        <w:t>变更后采用的会计政策</w:t>
      </w:r>
    </w:p>
    <w:p>
      <w:pPr>
        <w:pStyle w:val="8"/>
        <w:spacing w:line="400" w:lineRule="exact"/>
        <w:ind w:firstLine="560" w:firstLineChars="200"/>
        <w:rPr>
          <w:rFonts w:hAnsi="宋体"/>
          <w:sz w:val="28"/>
        </w:rPr>
      </w:pPr>
      <w:r>
        <w:rPr>
          <w:rFonts w:hint="eastAsia" w:hAnsi="宋体"/>
          <w:sz w:val="28"/>
        </w:rPr>
        <w:t>本次变更后，公司将执行《企业会计准则第22号——金融工具确认和计量》、《企业会计准则第23号——金融资产转移》、《企业会计准则第24号——套期会计》、《企业会计准则第37号——金融工具列报》中的规定</w:t>
      </w:r>
      <w:r>
        <w:rPr>
          <w:rFonts w:hint="eastAsia" w:hAnsi="宋体"/>
          <w:sz w:val="28"/>
          <w:lang w:eastAsia="zh-CN"/>
        </w:rPr>
        <w:t>。</w:t>
      </w:r>
      <w:r>
        <w:rPr>
          <w:rFonts w:hint="eastAsia" w:hAnsi="宋体"/>
          <w:sz w:val="28"/>
        </w:rPr>
        <w:t>除上述会计政策变更外，其他未修改部分，仍按照财政部前期颁布的《企业会计准则——基本准则》和各项具体会计准则、企业会计准则应用指南、企业会计准则解释公告以及其他相关规定执行。</w:t>
      </w:r>
    </w:p>
    <w:p>
      <w:pPr>
        <w:pStyle w:val="8"/>
        <w:spacing w:line="400" w:lineRule="exact"/>
        <w:ind w:firstLine="562" w:firstLineChars="200"/>
        <w:rPr>
          <w:rFonts w:hAnsi="宋体"/>
          <w:b/>
          <w:sz w:val="28"/>
        </w:rPr>
      </w:pPr>
      <w:r>
        <w:rPr>
          <w:rFonts w:hint="eastAsia" w:hAnsi="宋体"/>
          <w:b/>
          <w:sz w:val="28"/>
        </w:rPr>
        <w:t>二、本次会计政策变更对公司的影响</w:t>
      </w:r>
    </w:p>
    <w:p>
      <w:pPr>
        <w:pStyle w:val="5"/>
        <w:adjustRightInd w:val="0"/>
        <w:snapToGrid w:val="0"/>
        <w:spacing w:line="400" w:lineRule="exact"/>
        <w:ind w:firstLine="562"/>
        <w:rPr>
          <w:rFonts w:hint="eastAsia" w:ascii="宋体" w:hAnsi="宋体" w:eastAsia="宋体"/>
          <w:b w:val="0"/>
          <w:bCs/>
          <w:color w:val="auto"/>
          <w:sz w:val="28"/>
          <w:szCs w:val="24"/>
        </w:rPr>
      </w:pPr>
      <w:r>
        <w:rPr>
          <w:rFonts w:hint="eastAsia" w:ascii="宋体" w:hAnsi="宋体" w:eastAsia="宋体"/>
          <w:b w:val="0"/>
          <w:bCs/>
          <w:color w:val="auto"/>
          <w:sz w:val="28"/>
          <w:szCs w:val="24"/>
        </w:rPr>
        <w:t>根据财政部新修订的金融工具相关会计准则，主要变更内容包括：</w:t>
      </w:r>
    </w:p>
    <w:p>
      <w:pPr>
        <w:pStyle w:val="5"/>
        <w:adjustRightInd w:val="0"/>
        <w:snapToGrid w:val="0"/>
        <w:spacing w:line="400" w:lineRule="exact"/>
        <w:ind w:firstLine="562"/>
        <w:rPr>
          <w:rFonts w:hint="eastAsia" w:ascii="宋体" w:hAnsi="宋体" w:eastAsia="宋体"/>
          <w:b w:val="0"/>
          <w:bCs/>
          <w:color w:val="auto"/>
          <w:sz w:val="28"/>
          <w:szCs w:val="24"/>
        </w:rPr>
      </w:pPr>
      <w:r>
        <w:rPr>
          <w:rFonts w:hint="eastAsia" w:ascii="宋体" w:hAnsi="宋体" w:eastAsia="宋体"/>
          <w:b w:val="0"/>
          <w:bCs/>
          <w:color w:val="auto"/>
          <w:sz w:val="28"/>
          <w:szCs w:val="24"/>
        </w:rPr>
        <w:t>1.金融资产分类由现行“四分类”改为“三分类”，</w:t>
      </w:r>
      <w:r>
        <w:rPr>
          <w:rFonts w:hint="eastAsia" w:ascii="宋体" w:hAnsi="宋体" w:eastAsia="宋体"/>
          <w:b w:val="0"/>
          <w:bCs/>
          <w:color w:val="auto"/>
          <w:sz w:val="28"/>
          <w:szCs w:val="24"/>
          <w:lang w:eastAsia="zh-CN"/>
        </w:rPr>
        <w:t>修订后</w:t>
      </w:r>
      <w:r>
        <w:rPr>
          <w:rFonts w:hint="eastAsia" w:ascii="宋体" w:hAnsi="宋体" w:eastAsia="宋体"/>
          <w:b w:val="0"/>
          <w:bCs/>
          <w:color w:val="auto"/>
          <w:sz w:val="28"/>
          <w:szCs w:val="24"/>
        </w:rPr>
        <w:t>按照管理金融资产的业务模式和金融资产的合同现金流量特征</w:t>
      </w:r>
      <w:r>
        <w:rPr>
          <w:rFonts w:hint="eastAsia" w:ascii="宋体" w:hAnsi="宋体" w:eastAsia="宋体"/>
          <w:b w:val="0"/>
          <w:bCs/>
          <w:color w:val="auto"/>
          <w:sz w:val="28"/>
          <w:szCs w:val="24"/>
          <w:lang w:eastAsia="zh-CN"/>
        </w:rPr>
        <w:t>，</w:t>
      </w:r>
      <w:r>
        <w:rPr>
          <w:rFonts w:hint="eastAsia" w:ascii="宋体" w:hAnsi="宋体" w:eastAsia="宋体"/>
          <w:b w:val="0"/>
          <w:bCs/>
          <w:color w:val="auto"/>
          <w:sz w:val="28"/>
          <w:szCs w:val="24"/>
        </w:rPr>
        <w:t>分为“以摊余成本计量的金融资产”、“以公允价值计量且其变动计入其他综合收益的金融资产”和“以公允价值计量且其变动计入当期损益的金融资产”三类；</w:t>
      </w:r>
    </w:p>
    <w:p>
      <w:pPr>
        <w:pStyle w:val="5"/>
        <w:adjustRightInd w:val="0"/>
        <w:snapToGrid w:val="0"/>
        <w:spacing w:line="400" w:lineRule="exact"/>
        <w:ind w:firstLine="562"/>
        <w:rPr>
          <w:rFonts w:hint="eastAsia" w:ascii="宋体" w:hAnsi="宋体" w:eastAsia="宋体"/>
          <w:b w:val="0"/>
          <w:bCs/>
          <w:color w:val="auto"/>
          <w:sz w:val="28"/>
          <w:szCs w:val="24"/>
        </w:rPr>
      </w:pPr>
      <w:r>
        <w:rPr>
          <w:rFonts w:hint="eastAsia" w:ascii="宋体" w:hAnsi="宋体" w:eastAsia="宋体"/>
          <w:b w:val="0"/>
          <w:bCs/>
          <w:color w:val="auto"/>
          <w:sz w:val="28"/>
          <w:szCs w:val="24"/>
        </w:rPr>
        <w:t xml:space="preserve">2.金融资产减值损失准备计提由“已发生信用损失法”改为“预期信用损失法”，以更加及时、足额地计提金融资产减值准备，揭示和防控金融资产信用风险； </w:t>
      </w:r>
    </w:p>
    <w:p>
      <w:pPr>
        <w:pStyle w:val="5"/>
        <w:adjustRightInd w:val="0"/>
        <w:snapToGrid w:val="0"/>
        <w:spacing w:line="400" w:lineRule="exact"/>
        <w:ind w:firstLine="562"/>
        <w:rPr>
          <w:rFonts w:hint="eastAsia" w:ascii="宋体" w:hAnsi="宋体" w:eastAsia="宋体"/>
          <w:b w:val="0"/>
          <w:bCs/>
          <w:color w:val="auto"/>
          <w:sz w:val="28"/>
          <w:szCs w:val="24"/>
          <w:lang w:eastAsia="zh-CN"/>
        </w:rPr>
      </w:pPr>
      <w:r>
        <w:rPr>
          <w:rFonts w:hint="eastAsia" w:ascii="宋体" w:hAnsi="宋体" w:eastAsia="宋体"/>
          <w:b w:val="0"/>
          <w:bCs/>
          <w:color w:val="auto"/>
          <w:sz w:val="28"/>
          <w:szCs w:val="24"/>
        </w:rPr>
        <w:t>3.企业可将非交易性权益工具投资指定为以公允价值计量且其变动计入其他综合收益进行处理，但该指定不可撤销，且在处置时不得将原计入其他综合收益的累计公允价值变动额结转计入当期损益</w:t>
      </w:r>
      <w:r>
        <w:rPr>
          <w:rFonts w:hint="eastAsia" w:ascii="宋体" w:hAnsi="宋体" w:eastAsia="宋体"/>
          <w:b w:val="0"/>
          <w:bCs/>
          <w:color w:val="auto"/>
          <w:sz w:val="28"/>
          <w:szCs w:val="24"/>
          <w:lang w:eastAsia="zh-CN"/>
        </w:rPr>
        <w:t>；</w:t>
      </w:r>
    </w:p>
    <w:p>
      <w:pPr>
        <w:pStyle w:val="5"/>
        <w:adjustRightInd w:val="0"/>
        <w:snapToGrid w:val="0"/>
        <w:spacing w:line="400" w:lineRule="exact"/>
        <w:ind w:firstLine="562"/>
        <w:rPr>
          <w:rFonts w:hint="eastAsia" w:ascii="宋体" w:hAnsi="宋体" w:eastAsia="宋体"/>
          <w:b w:val="0"/>
          <w:bCs/>
          <w:color w:val="auto"/>
          <w:sz w:val="28"/>
          <w:szCs w:val="24"/>
        </w:rPr>
      </w:pPr>
      <w:r>
        <w:rPr>
          <w:rFonts w:hint="eastAsia" w:ascii="宋体" w:hAnsi="宋体" w:eastAsia="宋体"/>
          <w:b w:val="0"/>
          <w:bCs/>
          <w:color w:val="auto"/>
          <w:sz w:val="28"/>
          <w:szCs w:val="24"/>
        </w:rPr>
        <w:t xml:space="preserve">4.进一步明确金融资产转移的判断原则及其会计处理； </w:t>
      </w:r>
    </w:p>
    <w:p>
      <w:pPr>
        <w:pStyle w:val="5"/>
        <w:adjustRightInd w:val="0"/>
        <w:snapToGrid w:val="0"/>
        <w:spacing w:line="400" w:lineRule="exact"/>
        <w:ind w:firstLine="562"/>
        <w:rPr>
          <w:rFonts w:hint="eastAsia" w:ascii="宋体" w:hAnsi="宋体" w:eastAsia="宋体"/>
          <w:b w:val="0"/>
          <w:bCs/>
          <w:color w:val="auto"/>
          <w:sz w:val="28"/>
          <w:szCs w:val="24"/>
        </w:rPr>
      </w:pPr>
      <w:r>
        <w:rPr>
          <w:rFonts w:hint="eastAsia" w:ascii="宋体" w:hAnsi="宋体" w:eastAsia="宋体"/>
          <w:b w:val="0"/>
          <w:bCs/>
          <w:color w:val="auto"/>
          <w:sz w:val="28"/>
          <w:szCs w:val="24"/>
        </w:rPr>
        <w:t>5.套期会计准则更加强调套期会计与企业风险管理活动的有机结合，更好地反映企业的风险管理活动。</w:t>
      </w:r>
    </w:p>
    <w:p>
      <w:pPr>
        <w:pStyle w:val="5"/>
        <w:adjustRightInd w:val="0"/>
        <w:snapToGrid w:val="0"/>
        <w:spacing w:line="400" w:lineRule="exact"/>
        <w:ind w:firstLine="562"/>
        <w:rPr>
          <w:rFonts w:hint="eastAsia" w:ascii="宋体" w:hAnsi="宋体" w:eastAsia="宋体"/>
          <w:b w:val="0"/>
          <w:bCs/>
          <w:color w:val="auto"/>
          <w:sz w:val="28"/>
          <w:szCs w:val="24"/>
        </w:rPr>
      </w:pPr>
      <w:r>
        <w:rPr>
          <w:rFonts w:hint="eastAsia" w:ascii="宋体" w:hAnsi="宋体" w:eastAsia="宋体"/>
          <w:b w:val="0"/>
          <w:bCs/>
          <w:color w:val="auto"/>
          <w:sz w:val="28"/>
          <w:szCs w:val="24"/>
        </w:rPr>
        <w:t>根据衔接规定，企业无需按照金融工具准则追溯调整前期可比数</w:t>
      </w:r>
      <w:r>
        <w:rPr>
          <w:rFonts w:hint="eastAsia" w:ascii="宋体" w:hAnsi="宋体" w:eastAsia="宋体"/>
          <w:b w:val="0"/>
          <w:bCs/>
          <w:color w:val="auto"/>
          <w:sz w:val="28"/>
          <w:szCs w:val="24"/>
          <w:lang w:eastAsia="zh-CN"/>
        </w:rPr>
        <w:t>。</w:t>
      </w:r>
      <w:r>
        <w:rPr>
          <w:rFonts w:hint="eastAsia" w:ascii="宋体" w:hAnsi="宋体" w:eastAsia="宋体"/>
          <w:b w:val="0"/>
          <w:bCs/>
          <w:color w:val="auto"/>
          <w:sz w:val="28"/>
          <w:szCs w:val="24"/>
        </w:rPr>
        <w:t>因此，公司自2019年开始变更会计政策，并自2019年第一季度起按新准则要求进行会计报表披露</w:t>
      </w:r>
      <w:r>
        <w:rPr>
          <w:rFonts w:hint="eastAsia" w:ascii="宋体" w:hAnsi="宋体" w:eastAsia="宋体"/>
          <w:b w:val="0"/>
          <w:bCs/>
          <w:color w:val="auto"/>
          <w:sz w:val="28"/>
          <w:szCs w:val="24"/>
          <w:lang w:eastAsia="zh-CN"/>
        </w:rPr>
        <w:t>，不</w:t>
      </w:r>
      <w:r>
        <w:rPr>
          <w:rFonts w:hint="eastAsia" w:ascii="宋体" w:hAnsi="宋体" w:eastAsia="宋体"/>
          <w:b w:val="0"/>
          <w:bCs/>
          <w:color w:val="auto"/>
          <w:sz w:val="28"/>
          <w:szCs w:val="24"/>
        </w:rPr>
        <w:t>追溯调整</w:t>
      </w:r>
      <w:r>
        <w:rPr>
          <w:rFonts w:hint="eastAsia" w:ascii="宋体" w:hAnsi="宋体" w:eastAsia="宋体"/>
          <w:b w:val="0"/>
          <w:bCs/>
          <w:color w:val="auto"/>
          <w:sz w:val="28"/>
          <w:szCs w:val="24"/>
          <w:lang w:eastAsia="zh-CN"/>
        </w:rPr>
        <w:t>前期可比数</w:t>
      </w:r>
      <w:r>
        <w:rPr>
          <w:rFonts w:hint="eastAsia" w:ascii="宋体" w:hAnsi="宋体" w:eastAsia="宋体"/>
          <w:b w:val="0"/>
          <w:bCs/>
          <w:color w:val="auto"/>
          <w:sz w:val="28"/>
          <w:szCs w:val="24"/>
        </w:rPr>
        <w:t>，</w:t>
      </w:r>
      <w:r>
        <w:rPr>
          <w:rFonts w:hint="eastAsia" w:ascii="宋体" w:hAnsi="宋体" w:eastAsia="宋体"/>
          <w:b w:val="0"/>
          <w:bCs/>
          <w:color w:val="auto"/>
          <w:sz w:val="28"/>
          <w:szCs w:val="24"/>
          <w:lang w:eastAsia="zh-CN"/>
        </w:rPr>
        <w:t>预计</w:t>
      </w:r>
      <w:r>
        <w:rPr>
          <w:rFonts w:hint="eastAsia" w:ascii="宋体" w:hAnsi="宋体" w:eastAsia="宋体"/>
          <w:b w:val="0"/>
          <w:bCs/>
          <w:color w:val="auto"/>
          <w:sz w:val="28"/>
          <w:szCs w:val="24"/>
        </w:rPr>
        <w:t>本次会计政策变更不会对公司</w:t>
      </w:r>
      <w:r>
        <w:rPr>
          <w:rFonts w:hint="eastAsia" w:ascii="宋体" w:hAnsi="宋体" w:eastAsia="宋体"/>
          <w:b w:val="0"/>
          <w:bCs/>
          <w:color w:val="auto"/>
          <w:sz w:val="28"/>
          <w:szCs w:val="24"/>
          <w:lang w:val="en-US" w:eastAsia="zh-CN"/>
        </w:rPr>
        <w:t>经营业绩和财务状况</w:t>
      </w:r>
      <w:r>
        <w:rPr>
          <w:rFonts w:hint="eastAsia" w:ascii="宋体" w:hAnsi="宋体" w:eastAsia="宋体"/>
          <w:b w:val="0"/>
          <w:bCs/>
          <w:color w:val="auto"/>
          <w:sz w:val="28"/>
          <w:szCs w:val="24"/>
        </w:rPr>
        <w:t>产生重大影响。</w:t>
      </w:r>
    </w:p>
    <w:p>
      <w:pPr>
        <w:pStyle w:val="5"/>
        <w:adjustRightInd w:val="0"/>
        <w:snapToGrid w:val="0"/>
        <w:spacing w:line="400" w:lineRule="exact"/>
        <w:ind w:firstLine="562"/>
        <w:rPr>
          <w:rFonts w:ascii="宋体" w:hAnsi="宋体" w:eastAsia="宋体"/>
          <w:b/>
          <w:color w:val="auto"/>
          <w:sz w:val="28"/>
          <w:szCs w:val="24"/>
        </w:rPr>
      </w:pPr>
      <w:r>
        <w:rPr>
          <w:rFonts w:hint="eastAsia" w:ascii="宋体" w:hAnsi="宋体" w:eastAsia="宋体"/>
          <w:b/>
          <w:color w:val="auto"/>
          <w:sz w:val="28"/>
          <w:szCs w:val="24"/>
        </w:rPr>
        <w:t>三、董事会关于会计政策变更的说明</w:t>
      </w:r>
    </w:p>
    <w:p>
      <w:pPr>
        <w:pStyle w:val="5"/>
        <w:adjustRightInd w:val="0"/>
        <w:snapToGrid w:val="0"/>
        <w:spacing w:line="400" w:lineRule="exact"/>
        <w:ind w:firstLine="560"/>
        <w:rPr>
          <w:rFonts w:ascii="宋体" w:hAnsi="宋体" w:eastAsia="宋体"/>
          <w:color w:val="auto"/>
          <w:sz w:val="28"/>
          <w:szCs w:val="24"/>
        </w:rPr>
      </w:pPr>
      <w:r>
        <w:rPr>
          <w:rFonts w:hint="eastAsia" w:ascii="宋体" w:hAnsi="宋体" w:eastAsia="宋体"/>
          <w:color w:val="auto"/>
          <w:sz w:val="28"/>
          <w:szCs w:val="24"/>
        </w:rPr>
        <w:t>201</w:t>
      </w:r>
      <w:r>
        <w:rPr>
          <w:rFonts w:hint="eastAsia" w:ascii="宋体" w:hAnsi="宋体" w:eastAsia="宋体"/>
          <w:color w:val="auto"/>
          <w:sz w:val="28"/>
          <w:szCs w:val="24"/>
          <w:lang w:val="en-US" w:eastAsia="zh-CN"/>
        </w:rPr>
        <w:t>9</w:t>
      </w:r>
      <w:r>
        <w:rPr>
          <w:rFonts w:hint="eastAsia" w:ascii="宋体" w:hAnsi="宋体" w:eastAsia="宋体"/>
          <w:color w:val="auto"/>
          <w:sz w:val="28"/>
          <w:szCs w:val="24"/>
        </w:rPr>
        <w:t>年4月</w:t>
      </w:r>
      <w:r>
        <w:rPr>
          <w:rFonts w:hint="eastAsia" w:ascii="宋体" w:hAnsi="宋体" w:eastAsia="宋体"/>
          <w:color w:val="auto"/>
          <w:sz w:val="28"/>
          <w:szCs w:val="24"/>
          <w:lang w:val="en-US" w:eastAsia="zh-CN"/>
        </w:rPr>
        <w:t>23</w:t>
      </w:r>
      <w:r>
        <w:rPr>
          <w:rFonts w:hint="eastAsia" w:ascii="宋体" w:hAnsi="宋体" w:eastAsia="宋体"/>
          <w:color w:val="auto"/>
          <w:sz w:val="28"/>
          <w:szCs w:val="24"/>
        </w:rPr>
        <w:t>日</w:t>
      </w:r>
      <w:r>
        <w:rPr>
          <w:rFonts w:hint="eastAsia" w:ascii="宋体" w:hAnsi="宋体" w:eastAsia="宋体"/>
          <w:color w:val="auto"/>
          <w:sz w:val="28"/>
          <w:szCs w:val="24"/>
          <w:lang w:eastAsia="zh-CN"/>
        </w:rPr>
        <w:t>，</w:t>
      </w:r>
      <w:r>
        <w:rPr>
          <w:rFonts w:hint="eastAsia" w:ascii="宋体" w:hAnsi="宋体" w:eastAsia="宋体"/>
          <w:color w:val="auto"/>
          <w:sz w:val="28"/>
          <w:szCs w:val="24"/>
        </w:rPr>
        <w:t>公司召开第</w:t>
      </w:r>
      <w:r>
        <w:rPr>
          <w:rFonts w:hint="eastAsia" w:ascii="宋体" w:hAnsi="宋体" w:eastAsia="宋体"/>
          <w:color w:val="auto"/>
          <w:sz w:val="28"/>
          <w:szCs w:val="24"/>
          <w:lang w:eastAsia="zh-CN"/>
        </w:rPr>
        <w:t>八</w:t>
      </w:r>
      <w:r>
        <w:rPr>
          <w:rFonts w:hint="eastAsia" w:ascii="宋体" w:hAnsi="宋体" w:eastAsia="宋体"/>
          <w:color w:val="auto"/>
          <w:sz w:val="28"/>
          <w:szCs w:val="24"/>
        </w:rPr>
        <w:t>届董事会第</w:t>
      </w:r>
      <w:r>
        <w:rPr>
          <w:rFonts w:hint="eastAsia" w:ascii="宋体" w:hAnsi="宋体" w:eastAsia="宋体"/>
          <w:color w:val="auto"/>
          <w:sz w:val="28"/>
          <w:szCs w:val="24"/>
          <w:lang w:val="en-US" w:eastAsia="zh-CN"/>
        </w:rPr>
        <w:t>二十五</w:t>
      </w:r>
      <w:r>
        <w:rPr>
          <w:rFonts w:hint="eastAsia" w:ascii="宋体" w:hAnsi="宋体" w:eastAsia="宋体"/>
          <w:color w:val="auto"/>
          <w:sz w:val="28"/>
          <w:szCs w:val="24"/>
        </w:rPr>
        <w:t>次会议</w:t>
      </w:r>
      <w:r>
        <w:rPr>
          <w:rFonts w:hint="eastAsia" w:ascii="宋体" w:hAnsi="宋体" w:eastAsia="宋体"/>
          <w:color w:val="auto"/>
          <w:sz w:val="28"/>
          <w:szCs w:val="24"/>
          <w:lang w:eastAsia="zh-CN"/>
        </w:rPr>
        <w:t>，</w:t>
      </w:r>
      <w:r>
        <w:rPr>
          <w:rFonts w:hint="eastAsia" w:ascii="宋体" w:hAnsi="宋体" w:eastAsia="宋体"/>
          <w:color w:val="auto"/>
          <w:sz w:val="28"/>
          <w:szCs w:val="24"/>
        </w:rPr>
        <w:t>以9票同意、0票反对、0票弃权审议通过</w:t>
      </w:r>
      <w:r>
        <w:rPr>
          <w:rFonts w:hint="eastAsia" w:ascii="宋体" w:hAnsi="宋体" w:eastAsia="宋体"/>
          <w:color w:val="auto"/>
          <w:sz w:val="28"/>
          <w:szCs w:val="24"/>
          <w:lang w:eastAsia="zh-CN"/>
        </w:rPr>
        <w:t>了《关于</w:t>
      </w:r>
      <w:r>
        <w:rPr>
          <w:rFonts w:hint="eastAsia" w:ascii="宋体" w:hAnsi="宋体" w:eastAsia="宋体"/>
          <w:sz w:val="28"/>
          <w:szCs w:val="24"/>
        </w:rPr>
        <w:t>会计政策变更</w:t>
      </w:r>
      <w:r>
        <w:rPr>
          <w:rFonts w:hint="eastAsia" w:ascii="宋体" w:hAnsi="宋体" w:eastAsia="宋体"/>
          <w:color w:val="auto"/>
          <w:sz w:val="28"/>
          <w:szCs w:val="24"/>
          <w:lang w:eastAsia="zh-CN"/>
        </w:rPr>
        <w:t>的</w:t>
      </w:r>
      <w:r>
        <w:rPr>
          <w:rFonts w:hint="eastAsia" w:ascii="宋体" w:hAnsi="宋体" w:eastAsia="宋体"/>
          <w:color w:val="auto"/>
          <w:sz w:val="28"/>
          <w:szCs w:val="24"/>
        </w:rPr>
        <w:t>议案</w:t>
      </w:r>
      <w:r>
        <w:rPr>
          <w:rFonts w:hint="eastAsia" w:ascii="宋体" w:hAnsi="宋体" w:eastAsia="宋体"/>
          <w:color w:val="auto"/>
          <w:sz w:val="28"/>
          <w:szCs w:val="24"/>
          <w:lang w:eastAsia="zh-CN"/>
        </w:rPr>
        <w:t>》</w:t>
      </w:r>
      <w:r>
        <w:rPr>
          <w:rFonts w:hint="eastAsia" w:ascii="宋体" w:hAnsi="宋体" w:eastAsia="宋体"/>
          <w:color w:val="auto"/>
          <w:sz w:val="28"/>
          <w:szCs w:val="24"/>
        </w:rPr>
        <w:t>。</w:t>
      </w:r>
      <w:r>
        <w:rPr>
          <w:rFonts w:hint="eastAsia" w:ascii="宋体" w:hAnsi="宋体" w:eastAsia="宋体"/>
          <w:sz w:val="28"/>
          <w:szCs w:val="24"/>
        </w:rPr>
        <w:t>公司董事会认为：</w:t>
      </w:r>
      <w:r>
        <w:rPr>
          <w:rFonts w:ascii="宋体" w:hAnsi="宋体" w:eastAsia="宋体"/>
          <w:color w:val="auto"/>
          <w:sz w:val="28"/>
          <w:szCs w:val="24"/>
        </w:rPr>
        <w:t>本次会计政策变更是公司根据财政部相关文件要求进行的变更，符合</w:t>
      </w:r>
      <w:r>
        <w:rPr>
          <w:rFonts w:hint="eastAsia" w:ascii="宋体" w:hAnsi="宋体" w:eastAsia="宋体"/>
          <w:color w:val="auto"/>
          <w:sz w:val="28"/>
          <w:szCs w:val="24"/>
          <w:lang w:val="en-US" w:eastAsia="zh-CN"/>
        </w:rPr>
        <w:t>财政部</w:t>
      </w:r>
      <w:r>
        <w:rPr>
          <w:rFonts w:ascii="宋体" w:hAnsi="宋体" w:eastAsia="宋体"/>
          <w:color w:val="auto"/>
          <w:sz w:val="28"/>
          <w:szCs w:val="24"/>
        </w:rPr>
        <w:t>相关规定和公司实际情况，本次会计政策变更不会对公司</w:t>
      </w:r>
      <w:r>
        <w:rPr>
          <w:rFonts w:hint="eastAsia" w:ascii="宋体" w:hAnsi="宋体" w:eastAsia="宋体"/>
          <w:color w:val="auto"/>
          <w:sz w:val="28"/>
          <w:szCs w:val="24"/>
          <w:lang w:val="en-US" w:eastAsia="zh-CN"/>
        </w:rPr>
        <w:t>经营业绩和财务状况</w:t>
      </w:r>
      <w:r>
        <w:rPr>
          <w:rFonts w:ascii="宋体" w:hAnsi="宋体" w:eastAsia="宋体"/>
          <w:color w:val="auto"/>
          <w:sz w:val="28"/>
          <w:szCs w:val="24"/>
        </w:rPr>
        <w:t>产生重大影响，不存在损害公司及中小股东利益的情形。</w:t>
      </w:r>
    </w:p>
    <w:p>
      <w:pPr>
        <w:pStyle w:val="8"/>
        <w:spacing w:line="400" w:lineRule="exact"/>
        <w:ind w:firstLine="560" w:firstLineChars="200"/>
        <w:rPr>
          <w:rFonts w:hAnsi="宋体"/>
          <w:sz w:val="28"/>
        </w:rPr>
      </w:pPr>
      <w:r>
        <w:rPr>
          <w:rFonts w:hint="eastAsia" w:hAnsi="宋体"/>
          <w:sz w:val="28"/>
        </w:rPr>
        <w:t>本次会计政策变更无需提交公司股东大会审议。</w:t>
      </w:r>
    </w:p>
    <w:p>
      <w:pPr>
        <w:pStyle w:val="5"/>
        <w:adjustRightInd w:val="0"/>
        <w:snapToGrid w:val="0"/>
        <w:spacing w:line="400" w:lineRule="exact"/>
        <w:ind w:firstLine="562"/>
        <w:rPr>
          <w:rFonts w:hint="eastAsia" w:ascii="宋体" w:hAnsi="宋体" w:eastAsia="宋体"/>
          <w:b/>
          <w:color w:val="auto"/>
          <w:sz w:val="28"/>
          <w:szCs w:val="24"/>
          <w:lang w:eastAsia="zh-CN"/>
        </w:rPr>
      </w:pPr>
      <w:bookmarkStart w:id="0" w:name="_GoBack"/>
      <w:bookmarkEnd w:id="0"/>
      <w:r>
        <w:rPr>
          <w:rFonts w:hint="eastAsia" w:ascii="宋体" w:hAnsi="宋体" w:eastAsia="宋体"/>
          <w:b/>
          <w:color w:val="auto"/>
          <w:sz w:val="28"/>
          <w:szCs w:val="24"/>
        </w:rPr>
        <w:t>四、公司独立董事意见</w:t>
      </w:r>
    </w:p>
    <w:p>
      <w:pPr>
        <w:pStyle w:val="5"/>
        <w:adjustRightInd w:val="0"/>
        <w:snapToGrid w:val="0"/>
        <w:spacing w:line="400" w:lineRule="exact"/>
        <w:ind w:firstLine="560"/>
        <w:rPr>
          <w:rFonts w:hint="eastAsia" w:ascii="宋体" w:hAnsi="宋体" w:eastAsia="宋体"/>
          <w:color w:val="auto"/>
          <w:sz w:val="28"/>
          <w:szCs w:val="24"/>
        </w:rPr>
      </w:pPr>
      <w:r>
        <w:rPr>
          <w:rFonts w:ascii="宋体" w:hAnsi="宋体" w:eastAsia="宋体"/>
          <w:color w:val="auto"/>
          <w:sz w:val="28"/>
          <w:szCs w:val="24"/>
        </w:rPr>
        <w:t>公司独立董事对本次会计政策变更发表了如下独立意见：</w:t>
      </w:r>
      <w:r>
        <w:rPr>
          <w:rFonts w:hint="default" w:ascii="宋体" w:hAnsi="宋体" w:eastAsia="宋体"/>
          <w:color w:val="auto"/>
          <w:sz w:val="28"/>
          <w:szCs w:val="24"/>
        </w:rPr>
        <w:t>公司本次会计政策是根据</w:t>
      </w:r>
      <w:r>
        <w:rPr>
          <w:rFonts w:hint="eastAsia" w:ascii="宋体" w:hAnsi="宋体" w:eastAsia="宋体"/>
          <w:color w:val="auto"/>
          <w:sz w:val="28"/>
          <w:szCs w:val="24"/>
          <w:lang w:val="en-US" w:eastAsia="zh-CN"/>
        </w:rPr>
        <w:t>财政部的有关</w:t>
      </w:r>
      <w:r>
        <w:rPr>
          <w:rFonts w:hint="default" w:ascii="宋体" w:hAnsi="宋体" w:eastAsia="宋体"/>
          <w:color w:val="auto"/>
          <w:sz w:val="28"/>
          <w:szCs w:val="24"/>
        </w:rPr>
        <w:t>规定做出的法定变更。变更后的会计政策能够更加客观、公允地反映公司的财务状况及经营成果，本次变更不会对公司的财务状况及经营成果产生重大影响，也未对公司、股东特别是中小股东的合法权益造成损害。</w:t>
      </w:r>
    </w:p>
    <w:p>
      <w:pPr>
        <w:pStyle w:val="8"/>
        <w:snapToGrid w:val="0"/>
        <w:spacing w:line="400" w:lineRule="exact"/>
        <w:ind w:firstLine="562" w:firstLineChars="200"/>
        <w:rPr>
          <w:rFonts w:hAnsi="宋体"/>
          <w:b/>
          <w:color w:val="auto"/>
          <w:sz w:val="28"/>
        </w:rPr>
      </w:pPr>
      <w:r>
        <w:rPr>
          <w:rFonts w:hint="eastAsia" w:hAnsi="宋体"/>
          <w:b/>
          <w:color w:val="auto"/>
          <w:sz w:val="28"/>
        </w:rPr>
        <w:t>五、公司监事会意见</w:t>
      </w:r>
    </w:p>
    <w:p>
      <w:pPr>
        <w:pStyle w:val="8"/>
        <w:snapToGrid w:val="0"/>
        <w:spacing w:line="400" w:lineRule="exact"/>
        <w:ind w:firstLine="560" w:firstLineChars="200"/>
        <w:rPr>
          <w:rFonts w:hint="eastAsia" w:hAnsi="宋体" w:cs="Times New Roman"/>
          <w:color w:val="auto"/>
          <w:sz w:val="28"/>
        </w:rPr>
      </w:pPr>
      <w:r>
        <w:rPr>
          <w:rFonts w:hAnsi="宋体" w:cs="Times New Roman"/>
          <w:color w:val="auto"/>
          <w:sz w:val="28"/>
        </w:rPr>
        <w:t>公司监事会认为：公司依据财政部的要求，对公司原会计政策进行</w:t>
      </w:r>
      <w:r>
        <w:rPr>
          <w:rFonts w:hint="eastAsia" w:hAnsi="宋体" w:cs="Times New Roman"/>
          <w:color w:val="auto"/>
          <w:sz w:val="28"/>
          <w:lang w:val="en-US" w:eastAsia="zh-CN"/>
        </w:rPr>
        <w:t>调整</w:t>
      </w:r>
      <w:r>
        <w:rPr>
          <w:rFonts w:hAnsi="宋体" w:cs="Times New Roman"/>
          <w:color w:val="auto"/>
          <w:sz w:val="28"/>
        </w:rPr>
        <w:t>，符合</w:t>
      </w:r>
      <w:r>
        <w:rPr>
          <w:rFonts w:hint="eastAsia" w:hAnsi="宋体" w:cs="Times New Roman"/>
          <w:color w:val="auto"/>
          <w:sz w:val="28"/>
          <w:lang w:val="en-US" w:eastAsia="zh-CN"/>
        </w:rPr>
        <w:t>财政部的</w:t>
      </w:r>
      <w:r>
        <w:rPr>
          <w:rFonts w:hAnsi="宋体" w:cs="Times New Roman"/>
          <w:color w:val="auto"/>
          <w:sz w:val="28"/>
        </w:rPr>
        <w:t>相关规定和公司实际情况，其决策程序符合法律、法规和《公司章程》的有关规定，不存在损害公司及全体股东，特别是中小股东利益的情形</w:t>
      </w:r>
      <w:r>
        <w:rPr>
          <w:rFonts w:hint="eastAsia" w:hAnsi="宋体" w:cs="Times New Roman"/>
          <w:color w:val="auto"/>
          <w:sz w:val="28"/>
          <w:lang w:eastAsia="zh-CN"/>
        </w:rPr>
        <w:t>，</w:t>
      </w:r>
      <w:r>
        <w:rPr>
          <w:rFonts w:hAnsi="宋体" w:cs="Times New Roman"/>
          <w:color w:val="auto"/>
          <w:sz w:val="28"/>
        </w:rPr>
        <w:t>同意公司本次会计政策变更事项。</w:t>
      </w:r>
    </w:p>
    <w:p>
      <w:pPr>
        <w:pStyle w:val="8"/>
        <w:snapToGrid w:val="0"/>
        <w:spacing w:line="400" w:lineRule="exact"/>
        <w:ind w:firstLine="562" w:firstLineChars="200"/>
        <w:rPr>
          <w:rFonts w:hAnsi="宋体"/>
          <w:b/>
          <w:color w:val="auto"/>
          <w:sz w:val="28"/>
        </w:rPr>
      </w:pPr>
      <w:r>
        <w:rPr>
          <w:rFonts w:hint="eastAsia" w:hAnsi="宋体"/>
          <w:b/>
          <w:color w:val="auto"/>
          <w:sz w:val="28"/>
        </w:rPr>
        <w:t>六、备查文件</w:t>
      </w:r>
    </w:p>
    <w:p>
      <w:pPr>
        <w:pStyle w:val="8"/>
        <w:snapToGrid w:val="0"/>
        <w:spacing w:line="400" w:lineRule="exact"/>
        <w:ind w:firstLine="560" w:firstLineChars="200"/>
        <w:rPr>
          <w:rFonts w:hAnsi="宋体"/>
          <w:color w:val="auto"/>
          <w:sz w:val="28"/>
        </w:rPr>
      </w:pPr>
      <w:r>
        <w:rPr>
          <w:rFonts w:hAnsi="宋体" w:cs="Times New Roman"/>
          <w:color w:val="auto"/>
          <w:sz w:val="28"/>
        </w:rPr>
        <w:t>1</w:t>
      </w:r>
      <w:r>
        <w:rPr>
          <w:rFonts w:hint="eastAsia" w:hAnsi="宋体"/>
          <w:color w:val="auto"/>
          <w:sz w:val="28"/>
        </w:rPr>
        <w:t>.公司</w:t>
      </w:r>
      <w:r>
        <w:rPr>
          <w:rFonts w:hint="eastAsia" w:hAnsi="宋体" w:cs="Times New Roman"/>
          <w:color w:val="auto"/>
          <w:kern w:val="2"/>
          <w:sz w:val="28"/>
        </w:rPr>
        <w:t>第八届</w:t>
      </w:r>
      <w:r>
        <w:rPr>
          <w:rFonts w:hint="eastAsia" w:hAnsi="宋体" w:cs="Times New Roman"/>
          <w:color w:val="auto"/>
          <w:kern w:val="2"/>
          <w:sz w:val="28"/>
          <w:lang w:val="en-US" w:eastAsia="zh-CN"/>
        </w:rPr>
        <w:t>二十五</w:t>
      </w:r>
      <w:r>
        <w:rPr>
          <w:rFonts w:hint="eastAsia" w:hAnsi="宋体"/>
          <w:color w:val="auto"/>
          <w:sz w:val="28"/>
        </w:rPr>
        <w:t>次董事会决议</w:t>
      </w:r>
    </w:p>
    <w:p>
      <w:pPr>
        <w:pStyle w:val="8"/>
        <w:snapToGrid w:val="0"/>
        <w:spacing w:line="400" w:lineRule="exact"/>
        <w:ind w:firstLine="560" w:firstLineChars="200"/>
        <w:rPr>
          <w:rFonts w:hAnsi="宋体"/>
          <w:color w:val="auto"/>
          <w:sz w:val="28"/>
        </w:rPr>
      </w:pPr>
      <w:r>
        <w:rPr>
          <w:rFonts w:hAnsi="宋体" w:cs="Times New Roman"/>
          <w:color w:val="auto"/>
          <w:sz w:val="28"/>
        </w:rPr>
        <w:t>2</w:t>
      </w:r>
      <w:r>
        <w:rPr>
          <w:rFonts w:hint="eastAsia" w:hAnsi="宋体"/>
          <w:color w:val="auto"/>
          <w:sz w:val="28"/>
        </w:rPr>
        <w:t>.公司</w:t>
      </w:r>
      <w:r>
        <w:rPr>
          <w:rFonts w:hint="eastAsia" w:hAnsi="宋体" w:cs="Times New Roman"/>
          <w:color w:val="auto"/>
          <w:kern w:val="2"/>
          <w:sz w:val="28"/>
        </w:rPr>
        <w:t>第八届</w:t>
      </w:r>
      <w:r>
        <w:rPr>
          <w:rFonts w:hint="eastAsia" w:hAnsi="宋体" w:cs="Times New Roman"/>
          <w:color w:val="auto"/>
          <w:kern w:val="2"/>
          <w:sz w:val="28"/>
          <w:lang w:val="en-US" w:eastAsia="zh-CN"/>
        </w:rPr>
        <w:t>二十三</w:t>
      </w:r>
      <w:r>
        <w:rPr>
          <w:rFonts w:hint="eastAsia" w:hAnsi="宋体"/>
          <w:color w:val="auto"/>
          <w:sz w:val="28"/>
        </w:rPr>
        <w:t>次监事会决议</w:t>
      </w:r>
      <w:r>
        <w:rPr>
          <w:rFonts w:hAnsi="宋体"/>
          <w:color w:val="auto"/>
          <w:sz w:val="28"/>
        </w:rPr>
        <w:t xml:space="preserve"> </w:t>
      </w:r>
    </w:p>
    <w:p>
      <w:pPr>
        <w:pStyle w:val="8"/>
        <w:snapToGrid w:val="0"/>
        <w:spacing w:line="400" w:lineRule="exact"/>
        <w:ind w:firstLine="560" w:firstLineChars="200"/>
        <w:rPr>
          <w:rFonts w:hAnsi="宋体"/>
          <w:color w:val="auto"/>
          <w:sz w:val="28"/>
        </w:rPr>
      </w:pPr>
      <w:r>
        <w:rPr>
          <w:rFonts w:hAnsi="宋体" w:cs="Times New Roman"/>
          <w:color w:val="auto"/>
          <w:sz w:val="28"/>
        </w:rPr>
        <w:t>3</w:t>
      </w:r>
      <w:r>
        <w:rPr>
          <w:rFonts w:hint="eastAsia" w:hAnsi="宋体"/>
          <w:color w:val="auto"/>
          <w:sz w:val="28"/>
        </w:rPr>
        <w:t>.独立董事意见。</w:t>
      </w:r>
    </w:p>
    <w:p>
      <w:pPr>
        <w:pStyle w:val="8"/>
        <w:snapToGrid w:val="0"/>
        <w:spacing w:line="400" w:lineRule="exact"/>
        <w:ind w:firstLine="560" w:firstLineChars="200"/>
        <w:rPr>
          <w:rFonts w:hAnsi="宋体"/>
          <w:color w:val="auto"/>
          <w:sz w:val="28"/>
        </w:rPr>
      </w:pPr>
      <w:r>
        <w:rPr>
          <w:rFonts w:hint="eastAsia" w:hAnsi="宋体"/>
          <w:color w:val="auto"/>
          <w:sz w:val="28"/>
        </w:rPr>
        <w:t>特此公告</w:t>
      </w:r>
      <w:r>
        <w:rPr>
          <w:rFonts w:hAnsi="宋体"/>
          <w:color w:val="auto"/>
          <w:sz w:val="28"/>
        </w:rPr>
        <w:t xml:space="preserve"> </w:t>
      </w:r>
    </w:p>
    <w:p>
      <w:pPr>
        <w:pStyle w:val="8"/>
        <w:snapToGrid w:val="0"/>
        <w:spacing w:line="400" w:lineRule="exact"/>
        <w:ind w:firstLine="560" w:firstLineChars="200"/>
        <w:rPr>
          <w:rFonts w:hAnsi="宋体"/>
          <w:color w:val="auto"/>
          <w:sz w:val="28"/>
        </w:rPr>
      </w:pPr>
    </w:p>
    <w:p>
      <w:pPr>
        <w:adjustRightInd w:val="0"/>
        <w:snapToGrid w:val="0"/>
        <w:spacing w:line="400" w:lineRule="exact"/>
        <w:ind w:firstLine="557" w:firstLineChars="199"/>
        <w:jc w:val="right"/>
        <w:rPr>
          <w:rFonts w:ascii="宋体" w:hAnsi="宋体"/>
          <w:sz w:val="28"/>
        </w:rPr>
      </w:pPr>
      <w:r>
        <w:rPr>
          <w:rFonts w:ascii="宋体" w:hAnsi="宋体"/>
          <w:sz w:val="28"/>
        </w:rPr>
        <w:t>国电长源电力股份有限公司董事会</w:t>
      </w:r>
    </w:p>
    <w:p>
      <w:pPr>
        <w:adjustRightInd w:val="0"/>
        <w:snapToGrid w:val="0"/>
        <w:spacing w:line="400" w:lineRule="exact"/>
        <w:ind w:firstLine="557" w:firstLineChars="199"/>
        <w:jc w:val="right"/>
        <w:rPr>
          <w:rFonts w:ascii="宋体" w:hAnsi="宋体"/>
          <w:sz w:val="28"/>
        </w:rPr>
      </w:pPr>
      <w:r>
        <w:rPr>
          <w:rFonts w:ascii="宋体" w:hAnsi="宋体"/>
          <w:sz w:val="28"/>
        </w:rPr>
        <w:t>201</w:t>
      </w:r>
      <w:r>
        <w:rPr>
          <w:rFonts w:hint="eastAsia" w:ascii="宋体" w:hAnsi="宋体"/>
          <w:sz w:val="28"/>
          <w:lang w:val="en-US" w:eastAsia="zh-CN"/>
        </w:rPr>
        <w:t>9</w:t>
      </w:r>
      <w:r>
        <w:rPr>
          <w:rFonts w:ascii="宋体" w:hAnsi="宋体"/>
          <w:sz w:val="28"/>
        </w:rPr>
        <w:t>年</w:t>
      </w:r>
      <w:r>
        <w:rPr>
          <w:rFonts w:hint="eastAsia" w:ascii="宋体" w:hAnsi="宋体"/>
          <w:sz w:val="28"/>
        </w:rPr>
        <w:t>4</w:t>
      </w:r>
      <w:r>
        <w:rPr>
          <w:rFonts w:ascii="宋体" w:hAnsi="宋体"/>
          <w:sz w:val="28"/>
        </w:rPr>
        <w:t>月</w:t>
      </w:r>
      <w:r>
        <w:rPr>
          <w:rFonts w:hint="eastAsia" w:ascii="宋体" w:hAnsi="宋体"/>
          <w:sz w:val="28"/>
          <w:lang w:val="en-US" w:eastAsia="zh-CN"/>
        </w:rPr>
        <w:t>24</w:t>
      </w:r>
      <w:r>
        <w:rPr>
          <w:rFonts w:ascii="宋体" w:hAnsi="宋体"/>
          <w:sz w:val="28"/>
        </w:rPr>
        <w:t>日</w:t>
      </w:r>
    </w:p>
    <w:p>
      <w:pPr>
        <w:adjustRightInd w:val="0"/>
        <w:snapToGrid w:val="0"/>
        <w:spacing w:line="400" w:lineRule="exact"/>
        <w:ind w:firstLine="200"/>
        <w:rPr>
          <w:rFonts w:ascii="宋体" w:hAnsi="宋体"/>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93"/>
    <w:rsid w:val="000C730D"/>
    <w:rsid w:val="006267FB"/>
    <w:rsid w:val="00912F93"/>
    <w:rsid w:val="0DF4574A"/>
    <w:rsid w:val="20884ADD"/>
    <w:rsid w:val="22623C10"/>
    <w:rsid w:val="232818E2"/>
    <w:rsid w:val="265F45AB"/>
    <w:rsid w:val="2E2E1C60"/>
    <w:rsid w:val="53373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7"/>
    <w:qFormat/>
    <w:uiPriority w:val="0"/>
    <w:pPr>
      <w:spacing w:after="120" w:line="480" w:lineRule="auto"/>
      <w:ind w:left="420" w:leftChars="200"/>
    </w:pPr>
  </w:style>
  <w:style w:type="paragraph" w:customStyle="1" w:styleId="5">
    <w:name w:val="正文格式"/>
    <w:basedOn w:val="1"/>
    <w:link w:val="6"/>
    <w:qFormat/>
    <w:uiPriority w:val="99"/>
    <w:pPr>
      <w:spacing w:line="586" w:lineRule="exact"/>
      <w:ind w:firstLine="640" w:firstLineChars="200"/>
    </w:pPr>
    <w:rPr>
      <w:rFonts w:ascii="FangSong_GB2312" w:eastAsia="FangSong_GB2312"/>
      <w:color w:val="000000"/>
      <w:kern w:val="0"/>
      <w:sz w:val="32"/>
      <w:szCs w:val="32"/>
    </w:rPr>
  </w:style>
  <w:style w:type="character" w:customStyle="1" w:styleId="6">
    <w:name w:val="正文格式 Char"/>
    <w:link w:val="5"/>
    <w:qFormat/>
    <w:uiPriority w:val="99"/>
    <w:rPr>
      <w:rFonts w:ascii="FangSong_GB2312" w:hAnsi="Times New Roman" w:eastAsia="FangSong_GB2312" w:cs="Times New Roman"/>
      <w:color w:val="000000"/>
      <w:kern w:val="0"/>
      <w:sz w:val="32"/>
      <w:szCs w:val="32"/>
    </w:rPr>
  </w:style>
  <w:style w:type="character" w:customStyle="1" w:styleId="7">
    <w:name w:val="正文文本缩进 2 Char"/>
    <w:basedOn w:val="3"/>
    <w:link w:val="2"/>
    <w:qFormat/>
    <w:uiPriority w:val="0"/>
    <w:rPr>
      <w:rFonts w:ascii="Times New Roman" w:hAnsi="Times New Roman" w:eastAsia="宋体" w:cs="Times New Roman"/>
      <w:szCs w:val="24"/>
    </w:rPr>
  </w:style>
  <w:style w:type="paragraph" w:customStyle="1" w:styleId="8">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331</Words>
  <Characters>1892</Characters>
  <Lines>15</Lines>
  <Paragraphs>4</Paragraphs>
  <TotalTime>1</TotalTime>
  <ScaleCrop>false</ScaleCrop>
  <LinksUpToDate>false</LinksUpToDate>
  <CharactersWithSpaces>2219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2018-04-12T07:27:00Z</dcterms:created>
  <dc:creator>汪卉/证券融资法律部/国电长源电力股份有限公司</dc:creator>
  <cp:lastModifiedBy>周峰</cp:lastModifiedBy>
  <dcterms:modified xsi:type="dcterms:W3CDTF">2019-04-23T02:02:01Z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