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0" w:after="0" w:line="773" w:lineRule="exact"/>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rPr>
        <w:t>国家能源集团长源电力股份有限公司</w:t>
      </w:r>
    </w:p>
    <w:p>
      <w:pPr>
        <w:spacing w:before="1000" w:after="0" w:line="320" w:lineRule="exact"/>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2025年半年度报告</w:t>
      </w:r>
    </w:p>
    <w:p>
      <w:pPr>
        <w:spacing w:before="1000" w:after="0" w:line="240" w:lineRule="exact"/>
        <w:jc w:val="center"/>
        <w:rPr>
          <w:rFonts w:hint="default" w:ascii="Times New Roman" w:hAnsi="Times New Roman" w:eastAsia="宋体" w:cs="Times New Roman"/>
          <w:b/>
          <w:bCs/>
          <w:color w:val="auto"/>
          <w:sz w:val="21"/>
          <w:szCs w:val="21"/>
          <w:highlight w:val="none"/>
        </w:rPr>
      </w:pPr>
    </w:p>
    <w:p>
      <w:pPr>
        <w:spacing w:before="1000" w:after="1000" w:line="0" w:lineRule="exact"/>
        <w:jc w:val="center"/>
        <w:rPr>
          <w:rFonts w:hint="default" w:ascii="Times New Roman" w:hAnsi="Times New Roman" w:eastAsia="宋体" w:cs="Times New Roman"/>
          <w:color w:val="auto"/>
          <w:highlight w:val="none"/>
        </w:rPr>
      </w:pPr>
    </w:p>
    <w:p>
      <w:pPr>
        <w:jc w:val="center"/>
        <w:rPr>
          <w:rFonts w:hint="default" w:ascii="Times New Roman" w:hAnsi="Times New Roman" w:cs="Times New Roman"/>
          <w:color w:val="auto"/>
          <w:highlight w:val="none"/>
        </w:rPr>
      </w:pPr>
      <w:r>
        <w:rPr>
          <w:rFonts w:hint="default" w:ascii="Times New Roman" w:hAnsi="Times New Roman" w:eastAsia="宋体" w:cs="Times New Roman"/>
          <w:b/>
          <w:bCs/>
          <w:color w:val="auto"/>
          <w:sz w:val="32"/>
          <w:szCs w:val="32"/>
          <w:highlight w:val="none"/>
          <w:lang w:val="en-US" w:eastAsia="zh-CN"/>
        </w:rPr>
        <w:t>2025年8月</w:t>
      </w:r>
      <w:r>
        <w:rPr>
          <w:rFonts w:hint="default" w:ascii="Times New Roman" w:hAnsi="Times New Roman" w:cs="Times New Roman"/>
          <w:color w:val="auto"/>
          <w:highlight w:val="none"/>
        </w:rPr>
        <w:br w:type="page"/>
      </w: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bookmarkStart w:id="0" w:name="_Toc988889"/>
      <w:r>
        <w:rPr>
          <w:rFonts w:hint="default" w:ascii="Times New Roman" w:hAnsi="Times New Roman" w:eastAsia="宋体" w:cs="Times New Roman"/>
          <w:b/>
          <w:bCs/>
          <w:color w:val="auto"/>
          <w:sz w:val="32"/>
          <w:szCs w:val="32"/>
          <w:highlight w:val="none"/>
        </w:rPr>
        <w:t>第一节 重要提示、目录和释义</w:t>
      </w:r>
      <w:bookmarkEnd w:id="0"/>
    </w:p>
    <w:p>
      <w:pPr>
        <w:spacing w:before="40" w:after="40" w:line="560" w:lineRule="exact"/>
        <w:ind w:firstLine="560" w:firstLineChars="200"/>
        <w:jc w:val="left"/>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公司董事会及董事、高级管理人员保证半年度报告内容的真实、准确、完整，不存在虚假记载、误导性陈述或者重大遗漏，并承担个别和连带的法律责任。</w:t>
      </w:r>
    </w:p>
    <w:p>
      <w:pPr>
        <w:spacing w:before="0" w:after="0" w:line="560" w:lineRule="exact"/>
        <w:ind w:firstLine="560" w:firstLineChars="200"/>
        <w:jc w:val="left"/>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公司负责人董事长王冬、总经理郑峰、主管会计工作负责人朱虹及会计机构负责人</w:t>
      </w:r>
      <w:r>
        <w:rPr>
          <w:rFonts w:hint="eastAsia" w:cs="Times New Roman"/>
          <w:b/>
          <w:bCs/>
          <w:color w:val="auto"/>
          <w:sz w:val="28"/>
          <w:szCs w:val="28"/>
          <w:highlight w:val="none"/>
          <w:lang w:eastAsia="zh-CN"/>
        </w:rPr>
        <w:t>（</w:t>
      </w:r>
      <w:r>
        <w:rPr>
          <w:rFonts w:hint="default" w:ascii="Times New Roman" w:hAnsi="Times New Roman" w:eastAsia="宋体" w:cs="Times New Roman"/>
          <w:b/>
          <w:bCs/>
          <w:color w:val="auto"/>
          <w:sz w:val="28"/>
          <w:szCs w:val="28"/>
          <w:highlight w:val="none"/>
        </w:rPr>
        <w:t>会计主管人员</w:t>
      </w:r>
      <w:r>
        <w:rPr>
          <w:rFonts w:hint="eastAsia" w:cs="Times New Roman"/>
          <w:b/>
          <w:bCs/>
          <w:color w:val="auto"/>
          <w:sz w:val="28"/>
          <w:szCs w:val="28"/>
          <w:highlight w:val="none"/>
          <w:lang w:eastAsia="zh-CN"/>
        </w:rPr>
        <w:t>）</w:t>
      </w:r>
      <w:bookmarkStart w:id="85" w:name="_GoBack"/>
      <w:bookmarkEnd w:id="85"/>
      <w:r>
        <w:rPr>
          <w:rFonts w:hint="default" w:ascii="Times New Roman" w:hAnsi="Times New Roman" w:eastAsia="宋体" w:cs="Times New Roman"/>
          <w:b/>
          <w:bCs/>
          <w:color w:val="auto"/>
          <w:sz w:val="28"/>
          <w:szCs w:val="28"/>
          <w:highlight w:val="none"/>
        </w:rPr>
        <w:t>夏正茂声明：保证本半年度报告中财务报告的真实、准确、完整。</w:t>
      </w:r>
    </w:p>
    <w:p>
      <w:pPr>
        <w:spacing w:before="0" w:after="0" w:line="560" w:lineRule="exact"/>
        <w:ind w:firstLine="560" w:firstLineChars="200"/>
        <w:jc w:val="left"/>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所有董事均已出席了审议本次半年报的董事会会议。</w:t>
      </w:r>
    </w:p>
    <w:p>
      <w:pPr>
        <w:pStyle w:val="4"/>
        <w:keepNext w:val="0"/>
        <w:keepLines w:val="0"/>
        <w:widowControl/>
        <w:suppressLineNumbers w:val="0"/>
        <w:spacing w:line="560" w:lineRule="atLeast"/>
        <w:ind w:left="0" w:firstLine="420"/>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本报告涉及的未来计划、发展战略等前瞻性陈述，不构成公司对投资者的实质承诺，投资者及相关人士均应当对此保持足够的风险认识，并且应当理解计划、预测与承诺之间的差异，敬请投资者注意投资风险。</w:t>
      </w:r>
    </w:p>
    <w:p>
      <w:pPr>
        <w:pStyle w:val="4"/>
        <w:keepNext w:val="0"/>
        <w:keepLines w:val="0"/>
        <w:widowControl/>
        <w:suppressLineNumbers w:val="0"/>
        <w:spacing w:line="560" w:lineRule="atLeast"/>
        <w:ind w:left="0" w:firstLine="420"/>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本报告第三节“管理层讨论与分析”中描述了公司可能面临的风险，敬请广大投资者注意查阅。</w:t>
      </w:r>
    </w:p>
    <w:p>
      <w:pPr>
        <w:spacing w:before="0" w:after="0" w:line="560" w:lineRule="exact"/>
        <w:ind w:firstLine="560" w:firstLineChars="200"/>
        <w:jc w:val="left"/>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公司计划不派发现金红利，不送红股，不以公积金转增股本。</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before="0" w:after="0" w:line="720" w:lineRule="exact"/>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rPr>
        <w:t>目录</w:t>
      </w:r>
    </w:p>
    <w:p>
      <w:pPr>
        <w:pStyle w:val="2"/>
        <w:rPr>
          <w:rFonts w:hint="default" w:ascii="Times New Roman" w:hAnsi="Times New Roman" w:cs="Times New Roman"/>
          <w:color w:val="auto"/>
          <w:highlight w:val="none"/>
        </w:rPr>
      </w:pPr>
    </w:p>
    <w:p>
      <w:pPr>
        <w:tabs>
          <w:tab w:val="left" w:leader="dot" w:pos="9469"/>
        </w:tabs>
        <w:rPr>
          <w:rFonts w:hint="default" w:ascii="Times New Roman" w:hAnsi="Times New Roman" w:eastAsia="宋体" w:cs="Times New Roman"/>
          <w:b/>
          <w:bCs/>
          <w:color w:val="auto"/>
          <w:highlight w:val="none"/>
          <w:lang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w:instrText>
      </w:r>
      <w:r>
        <w:rPr>
          <w:rFonts w:hint="default" w:ascii="Times New Roman" w:hAnsi="Times New Roman" w:eastAsia="宋体" w:cs="Times New Roman"/>
          <w:b/>
          <w:bCs/>
          <w:color w:val="auto"/>
          <w:highlight w:val="none"/>
        </w:rPr>
        <w:instrText xml:space="preserve">TOC \o "1-2" \h \z \u</w:instrText>
      </w:r>
      <w:r>
        <w:rPr>
          <w:rFonts w:hint="default" w:ascii="Times New Roman" w:hAnsi="Times New Roman" w:cs="Times New Roman"/>
          <w:b/>
          <w:bCs/>
          <w:color w:val="auto"/>
          <w:highlight w:val="none"/>
        </w:rPr>
        <w:instrText xml:space="preserve"> </w:instrText>
      </w:r>
      <w:r>
        <w:rPr>
          <w:rFonts w:hint="default" w:ascii="Times New Roman" w:hAnsi="Times New Roman" w:cs="Times New Roman"/>
          <w:b/>
          <w:bCs/>
          <w:color w:val="auto"/>
          <w:highlight w:val="none"/>
        </w:rPr>
        <w:fldChar w:fldCharType="separate"/>
      </w: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"_Toc988889"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 xml:space="preserve">第一节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重要提示、目录和释义</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lang w:val="en-US" w:eastAsia="zh-CN"/>
        </w:rPr>
        <w:t>2</w:t>
      </w:r>
    </w:p>
    <w:p>
      <w:pPr>
        <w:tabs>
          <w:tab w:val="left" w:leader="dot" w:pos="9469"/>
        </w:tabs>
        <w:rPr>
          <w:rFonts w:hint="default" w:ascii="Times New Roman" w:hAnsi="Times New Roman" w:eastAsia="宋体" w:cs="Times New Roman"/>
          <w:b/>
          <w:bCs/>
          <w:color w:val="auto"/>
          <w:highlight w:val="none"/>
          <w:lang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"_Toc988890"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 xml:space="preserve">第二节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公司简介和主要财务指标</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lang w:val="en-US" w:eastAsia="zh-CN"/>
        </w:rPr>
        <w:t>7</w:t>
      </w:r>
    </w:p>
    <w:p>
      <w:pPr>
        <w:tabs>
          <w:tab w:val="left" w:leader="dot" w:pos="9469"/>
        </w:tabs>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"_Toc988902"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 xml:space="preserve">第三节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管理层讨论与分析</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lang w:val="en-US" w:eastAsia="zh-CN"/>
        </w:rPr>
        <w:t>10</w:t>
      </w:r>
    </w:p>
    <w:p>
      <w:pPr>
        <w:tabs>
          <w:tab w:val="left" w:leader="dot" w:pos="9469"/>
        </w:tabs>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"_Toc988931"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 xml:space="preserve">第四节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公司治理、环境和社会</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lang w:val="en-US" w:eastAsia="zh-CN"/>
        </w:rPr>
        <w:t>31</w:t>
      </w:r>
      <w:r>
        <w:rPr>
          <w:rFonts w:hint="default" w:ascii="Times New Roman" w:hAnsi="Times New Roman" w:cs="Times New Roman"/>
          <w:b/>
          <w:bCs/>
          <w:color w:val="auto"/>
          <w:highlight w:val="none"/>
        </w:rPr>
        <w:fldChar w:fldCharType="end"/>
      </w:r>
    </w:p>
    <w:p>
      <w:pPr>
        <w:tabs>
          <w:tab w:val="left" w:leader="dot" w:pos="9469"/>
        </w:tabs>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"_Toc988937"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 xml:space="preserve">第五节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重要事项</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lang w:val="en-US" w:eastAsia="zh-CN"/>
        </w:rPr>
        <w:t>34</w:t>
      </w:r>
    </w:p>
    <w:p>
      <w:pPr>
        <w:tabs>
          <w:tab w:val="left" w:leader="dot" w:pos="9469"/>
        </w:tabs>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"_Toc988966"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 xml:space="preserve">第六节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股份变动及股东情况</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lang w:val="en-US" w:eastAsia="zh-CN"/>
        </w:rPr>
        <w:t>49</w:t>
      </w:r>
    </w:p>
    <w:p>
      <w:pPr>
        <w:tabs>
          <w:tab w:val="left" w:leader="dot" w:pos="9469"/>
        </w:tabs>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"_Toc988975"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 xml:space="preserve">第七节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债券相关情况</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lang w:val="en-US" w:eastAsia="zh-CN"/>
        </w:rPr>
        <w:t>59</w:t>
      </w:r>
    </w:p>
    <w:p>
      <w:pPr>
        <w:tabs>
          <w:tab w:val="left" w:leader="dot" w:pos="9469"/>
        </w:tabs>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"_Toc988976"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 xml:space="preserve">第八节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财务报告</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lang w:val="en-US" w:eastAsia="zh-CN"/>
        </w:rPr>
        <w:t>60</w:t>
      </w:r>
    </w:p>
    <w:p>
      <w:pPr>
        <w:tabs>
          <w:tab w:val="left" w:leader="dot" w:pos="9469"/>
        </w:tabs>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HYPERLINK \l "_Toc988976" </w:instrText>
      </w:r>
      <w:r>
        <w:rPr>
          <w:rFonts w:hint="default" w:ascii="Times New Roman" w:hAnsi="Times New Roman" w:cs="Times New Roman"/>
          <w:b/>
          <w:bCs/>
          <w:color w:val="auto"/>
          <w:highlight w:val="none"/>
        </w:rPr>
        <w:fldChar w:fldCharType="separate"/>
      </w:r>
      <w:r>
        <w:rPr>
          <w:rFonts w:hint="default" w:ascii="Times New Roman" w:hAnsi="Times New Roman" w:eastAsia="宋体" w:cs="Times New Roman"/>
          <w:b/>
          <w:bCs/>
          <w:color w:val="auto"/>
          <w:sz w:val="24"/>
          <w:highlight w:val="none"/>
        </w:rPr>
        <w:t>第</w:t>
      </w:r>
      <w:r>
        <w:rPr>
          <w:rFonts w:hint="default" w:ascii="Times New Roman" w:hAnsi="Times New Roman" w:eastAsia="宋体" w:cs="Times New Roman"/>
          <w:b/>
          <w:bCs/>
          <w:color w:val="auto"/>
          <w:sz w:val="24"/>
          <w:highlight w:val="none"/>
          <w:lang w:val="en-US" w:eastAsia="zh-CN"/>
        </w:rPr>
        <w:t>九</w:t>
      </w:r>
      <w:r>
        <w:rPr>
          <w:rFonts w:hint="default" w:ascii="Times New Roman" w:hAnsi="Times New Roman" w:eastAsia="宋体" w:cs="Times New Roman"/>
          <w:b/>
          <w:bCs/>
          <w:color w:val="auto"/>
          <w:sz w:val="24"/>
          <w:highlight w:val="none"/>
        </w:rPr>
        <w:t xml:space="preserve">节 </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lang w:val="en-US" w:eastAsia="zh-CN"/>
        </w:rPr>
        <w:t>其</w:t>
      </w:r>
      <w:r>
        <w:rPr>
          <w:rFonts w:hint="default" w:ascii="Times New Roman" w:hAnsi="Times New Roman" w:cs="Times New Roman"/>
          <w:b/>
          <w:bCs/>
          <w:color w:val="auto"/>
          <w:sz w:val="24"/>
          <w:highlight w:val="none"/>
          <w:lang w:val="en-US" w:eastAsia="zh-CN"/>
        </w:rPr>
        <w:t>他</w:t>
      </w:r>
      <w:r>
        <w:rPr>
          <w:rFonts w:hint="default" w:ascii="Times New Roman" w:hAnsi="Times New Roman" w:eastAsia="宋体" w:cs="Times New Roman"/>
          <w:b/>
          <w:bCs/>
          <w:color w:val="auto"/>
          <w:sz w:val="24"/>
          <w:highlight w:val="none"/>
          <w:lang w:val="en-US" w:eastAsia="zh-CN"/>
        </w:rPr>
        <w:t>报送数据</w:t>
      </w:r>
      <w:r>
        <w:rPr>
          <w:rFonts w:hint="default" w:ascii="Times New Roman" w:hAnsi="Times New Roman" w:cs="Times New Roman"/>
          <w:b/>
          <w:bCs/>
          <w:color w:val="auto"/>
          <w:highlight w:val="none"/>
        </w:rPr>
        <w:tab/>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lang w:val="en-US" w:eastAsia="zh-CN"/>
        </w:rPr>
        <w:t>213</w:t>
      </w:r>
    </w:p>
    <w:p>
      <w:pPr>
        <w:tabs>
          <w:tab w:val="left" w:leader="dot" w:pos="9469"/>
        </w:tabs>
        <w:rPr>
          <w:rFonts w:hint="default" w:ascii="Times New Roman" w:hAnsi="Times New Roman" w:cs="Times New Roman"/>
          <w:color w:val="auto"/>
          <w:highlight w:val="none"/>
        </w:rPr>
      </w:pPr>
      <w:r>
        <w:rPr>
          <w:rFonts w:hint="default" w:ascii="Times New Roman" w:hAnsi="Times New Roman" w:cs="Times New Roman"/>
          <w:b/>
          <w:bCs/>
          <w:color w:val="auto"/>
          <w:highlight w:val="none"/>
        </w:rPr>
        <w:fldChar w:fldCharType="end"/>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before="0" w:after="0" w:line="640" w:lineRule="exact"/>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备查文件目录</w:t>
      </w:r>
    </w:p>
    <w:p>
      <w:pPr>
        <w:pStyle w:val="4"/>
        <w:keepNext w:val="0"/>
        <w:keepLines w:val="0"/>
        <w:widowControl/>
        <w:suppressLineNumbers w:val="0"/>
        <w:spacing w:line="56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一、载有法定代表人、主管会计工作负责人、会计机构负责人（会计主管人员）签名并盖章的财务报表。</w:t>
      </w:r>
    </w:p>
    <w:p>
      <w:pPr>
        <w:pStyle w:val="4"/>
        <w:keepNext w:val="0"/>
        <w:keepLines w:val="0"/>
        <w:widowControl/>
        <w:suppressLineNumbers w:val="0"/>
        <w:spacing w:line="560" w:lineRule="atLeas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二、报告期内在中国证监会指定报纸、网站上公开披露过的所有公司文件的正本及公告原稿。</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before="40" w:after="40" w:line="640" w:lineRule="exact"/>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释义</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320"/>
        <w:gridCol w:w="1000"/>
        <w:gridCol w:w="43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释义项</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释义内容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本集团</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国家能源集团长源电力股份有限公司及所属子公司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公司、本公司、长源电力</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国家能源集团长源电力股份有限公司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国电湖北、湖北公司、湖北电力</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国电湖北电力有限公司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2025年度1-6月份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随州公司</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国能长源随州发电有限公司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荆门公司</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国能长源荆门发电有限公司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汉川一发</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国电长源汉川第一发电有限公司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长源一发</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国电长源第一发电有限责任公司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荆州公司</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国能长源荆州热电有限公司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国能长源湖北新能源有限公司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售电公司</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国能长源能源销售有限公司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武汉实业</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国能长源武汉实业有限公司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青山公司</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国能长源武汉青山热电有限公司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汉川公司</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国能长源汉川发电有限公司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恩施水电</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国能长源恩施水电开发有限公司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十堰水电</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国能长源十堰水电开发有限公司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安陆新能源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国能长源安陆新能源有限公司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石首综合能源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国能长源石首综合能源有限公司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荆门新能源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公安新能源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国能长源公安县新能源有限公司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钟祥新能源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国能长源钟祥新能源有限公司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随县新能源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国能长源随县新能源有限公司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巴东新能源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国能长源巴东新能源有限公司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荆州新能源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潜江新能源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屈家岭新能源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国能长源荆门屈家岭新能源有限公司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谷城新能源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国能长源谷城新能源有限公司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江陵新能源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国能长源新能源开发（江陵县）有限公司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汉川四期项目</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汉川四期扩建工程（2×100万千瓦）燃煤发电项目，位于湖北省汉川市，规划装机容量200万千瓦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荆州二期扩建项目</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荆州热电二期2×35万千瓦燃煤发电扩建项目，位于湖北省荆州市，装机容量70万千瓦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巴东沿渡河项目</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湖北巴东沿渡河光伏项目，位于湖北省恩施土家族苗族自治州，规划装机容量10万千瓦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随县基地二期</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湖北随县百万基地二期光伏项目，位于湖北省随州市，规划装机容量10万千瓦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河南煤业</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国电长源河南煤业有限公司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安兴煤业</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禹州市安兴煤业有限公司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兴华煤业</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禹州市兴华煤业有限公司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国电集团</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中国国电集团有限公司、原控股股东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国家能源集团、控股股东</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国能财务</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华工创投</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武汉华工创业投资有限责任公司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湖北能源</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湖北能源集团股份有限公司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供电煤耗</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火力发电机组每供出1千瓦时电能平均耗用的标准煤量，单位为：克╱千瓦时或g/kwh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发电煤耗</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火力发电机组每发1千瓦时电能平均耗用的标准煤量，单位为：克╱千瓦时或g/kwh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厂用电率</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发电厂生产电能过程中消耗的电量与发电量的比率，单位为：%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负荷率</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平均负荷与最高负荷的比率，说明负荷的差异程度。数值大，表明生产均衡，设备能力利用高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发电量</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是指电厂（发电机组）在报告期内生产的电能量，简称「电量」。它是发电机组经过对一次能源的加工转换而生产出的有功电能数量，即发电机实际发出的有功功率与发电机实际运行时间的乘积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售电量</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是指电力企业出售给用户或其它电力企业的可供消费或生产投入的电量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装机容量</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发电站安装的发电机的额定容量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入炉综合标煤单价</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根据入炉综合标准煤量计算的吨煤燃料成本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利用小时</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机组发电量折合成平均容量时的运行小时数。计算公式为：利用小时=发电量/平均容量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千瓦时</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平时所说的"度"，是电功的单位，1千瓦时为1度电，千千瓦时即1000千瓦时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MW</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代表"兆瓦"即'millionwatt'的缩写。还有"kw"代表"千瓦"。其中的换算关系为：1MW=1000kw，1kw=1000W,1MW=1000000W，1MW=0.1万kw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吉焦</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热量单位，用符号GJ表示，是用于供热中按流量计费的热量单位，1吉焦=10亿焦耳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元</w:t>
            </w:r>
          </w:p>
        </w:tc>
        <w:tc>
          <w:tcPr>
            <w:tcW w:w="1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w:t>
            </w:r>
          </w:p>
        </w:tc>
        <w:tc>
          <w:tcPr>
            <w:tcW w:w="43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人民币元</w:t>
            </w:r>
          </w:p>
        </w:tc>
      </w:tr>
    </w:tbl>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bookmarkStart w:id="1" w:name="_Toc988890"/>
      <w:r>
        <w:rPr>
          <w:rFonts w:hint="default" w:ascii="Times New Roman" w:hAnsi="Times New Roman" w:eastAsia="宋体" w:cs="Times New Roman"/>
          <w:b/>
          <w:bCs/>
          <w:color w:val="auto"/>
          <w:sz w:val="32"/>
          <w:szCs w:val="32"/>
          <w:highlight w:val="none"/>
        </w:rPr>
        <w:t>第二节 公司简介和主要财务指标</w:t>
      </w:r>
      <w:bookmarkEnd w:id="1"/>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2" w:name="_Toc988891"/>
      <w:r>
        <w:rPr>
          <w:rFonts w:hint="default" w:ascii="Times New Roman" w:hAnsi="Times New Roman" w:eastAsia="宋体" w:cs="Times New Roman"/>
          <w:b/>
          <w:bCs/>
          <w:color w:val="auto"/>
          <w:sz w:val="24"/>
          <w:szCs w:val="24"/>
          <w:highlight w:val="none"/>
        </w:rPr>
        <w:t>一、公司简介</w:t>
      </w:r>
      <w:bookmarkEnd w:id="2"/>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股票简称</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长源电力</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股票代码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000966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股票上市证券交易所</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深圳证券交易所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公司的中文名称</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国家能源集团长源电力股份有限公司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公司的中文简称（如有）</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长源电力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公司的外文名称（如有）</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CHN ENERGY CHANGYUAN ELECTRIC POWER CO.,LTD.</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公司的外文名称缩写（如有）</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CHANGYUAN POWER</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公司的法定代表人</w:t>
            </w:r>
          </w:p>
        </w:tc>
        <w:tc>
          <w:tcPr>
            <w:tcW w:w="7229"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王冬</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3" w:name="_Toc988892"/>
      <w:r>
        <w:rPr>
          <w:rFonts w:hint="default" w:ascii="Times New Roman" w:hAnsi="Times New Roman" w:eastAsia="宋体" w:cs="Times New Roman"/>
          <w:b/>
          <w:bCs/>
          <w:color w:val="auto"/>
          <w:sz w:val="24"/>
          <w:szCs w:val="24"/>
          <w:highlight w:val="none"/>
        </w:rPr>
        <w:t>二、联系人和联系方式</w:t>
      </w:r>
      <w:bookmarkEnd w:id="3"/>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董事会秘书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证券事务代表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姓名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潘承亮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叶建兵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联系地址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湖北省武汉市洪山区徐东大街63号国家能源大厦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湖北省武汉市洪山区徐东大街63号国家能源大厦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027-88717023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027-88717132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传真</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027-88717134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027-88717134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电子信箱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12112049@ceic.com</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12089730@ceic.com</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 w:name="_Toc988893"/>
      <w:r>
        <w:rPr>
          <w:rFonts w:hint="default" w:ascii="Times New Roman" w:hAnsi="Times New Roman" w:eastAsia="宋体" w:cs="Times New Roman"/>
          <w:b/>
          <w:bCs/>
          <w:color w:val="auto"/>
          <w:sz w:val="24"/>
          <w:szCs w:val="24"/>
          <w:highlight w:val="none"/>
        </w:rPr>
        <w:t>三、其他情况</w:t>
      </w:r>
      <w:bookmarkEnd w:id="4"/>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5" w:name="_Toc988894"/>
      <w:r>
        <w:rPr>
          <w:rFonts w:hint="default" w:ascii="Times New Roman" w:hAnsi="Times New Roman" w:eastAsia="宋体" w:cs="Times New Roman"/>
          <w:b/>
          <w:bCs/>
          <w:color w:val="auto"/>
          <w:sz w:val="21"/>
          <w:szCs w:val="21"/>
          <w:highlight w:val="none"/>
        </w:rPr>
        <w:t>1、公司联系方式</w:t>
      </w:r>
      <w:bookmarkEnd w:id="5"/>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公司注册地址、公司办公地址及其邮政编码、公司网址、电子信箱等在报告期是否变化</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公司注册地址、公司办公地址及其邮政编码、公司网址、电子信箱等在报告期无变化，具体可参见2024年年报。</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6" w:name="_Toc988895"/>
      <w:r>
        <w:rPr>
          <w:rFonts w:hint="default" w:ascii="Times New Roman" w:hAnsi="Times New Roman" w:eastAsia="宋体" w:cs="Times New Roman"/>
          <w:b/>
          <w:bCs/>
          <w:color w:val="auto"/>
          <w:sz w:val="21"/>
          <w:szCs w:val="21"/>
          <w:highlight w:val="none"/>
        </w:rPr>
        <w:t>2、信息披露及备置地点</w:t>
      </w:r>
      <w:bookmarkEnd w:id="6"/>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信息披露及备置地点在报告期是否变化</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公司披露半年度报告的证券交易所网站和媒体名称及网址，公司半年度报告备置地在报告期无变化，具体可参见2024年年报。</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7" w:name="_Toc988896"/>
      <w:r>
        <w:rPr>
          <w:rFonts w:hint="default" w:ascii="Times New Roman" w:hAnsi="Times New Roman" w:eastAsia="宋体" w:cs="Times New Roman"/>
          <w:b/>
          <w:bCs/>
          <w:color w:val="auto"/>
          <w:sz w:val="21"/>
          <w:szCs w:val="21"/>
          <w:highlight w:val="none"/>
        </w:rPr>
        <w:t>3、其他有关资料</w:t>
      </w:r>
      <w:bookmarkEnd w:id="7"/>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其他有关资料在报告期是否变更情况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8" w:name="_Toc988897"/>
      <w:r>
        <w:rPr>
          <w:rFonts w:hint="default" w:ascii="Times New Roman" w:hAnsi="Times New Roman" w:eastAsia="宋体" w:cs="Times New Roman"/>
          <w:b/>
          <w:bCs/>
          <w:color w:val="auto"/>
          <w:sz w:val="24"/>
          <w:szCs w:val="24"/>
          <w:highlight w:val="none"/>
        </w:rPr>
        <w:t>四、主要会计数据和财务指标</w:t>
      </w:r>
      <w:bookmarkEnd w:id="8"/>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公司是否需追溯调整或重述以前年度会计数据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上年同期</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7,946,512,693.52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归属于上市公司股东的净利润（元）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94,822,076.33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447,921,409.36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归属于上市公司股东的扣除非经常性损益的净利润（元）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72,700,215.94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437,931,794.07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经营活动产生的现金流量净额（元）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1,671,739,919.76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1,962,625,203.31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基本每股收益（元/股）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0.0272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0.1629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稀释每股收益（元/股）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0.0272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0.1629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加权平均净资产收益率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上年度末</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总资产（元）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40,201,760,746.72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40,362,468,434.35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归属于上市公司股东的净资产（元）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13,770,142,472.36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13,607,442,805.32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扣除股份支付影响后的净利润</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扣除股份支付影响后的净利润（元）</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94,822,076.33</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9" w:name="_Toc988898"/>
      <w:r>
        <w:rPr>
          <w:rFonts w:hint="default" w:ascii="Times New Roman" w:hAnsi="Times New Roman" w:eastAsia="宋体" w:cs="Times New Roman"/>
          <w:b/>
          <w:bCs/>
          <w:color w:val="auto"/>
          <w:sz w:val="24"/>
          <w:szCs w:val="24"/>
          <w:highlight w:val="none"/>
        </w:rPr>
        <w:t>五、境内外会计准则下会计数据差异</w:t>
      </w:r>
      <w:bookmarkEnd w:id="9"/>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10" w:name="_Toc988899"/>
      <w:r>
        <w:rPr>
          <w:rFonts w:hint="default" w:ascii="Times New Roman" w:hAnsi="Times New Roman" w:eastAsia="宋体" w:cs="Times New Roman"/>
          <w:b/>
          <w:bCs/>
          <w:color w:val="auto"/>
          <w:sz w:val="21"/>
          <w:szCs w:val="21"/>
          <w:highlight w:val="none"/>
        </w:rPr>
        <w:t>1、同时按照国际会计准则与按照中国会计准则披露的财务报告中净利润和净资产差异情况</w:t>
      </w:r>
      <w:bookmarkEnd w:id="10"/>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公司报告期不存在按照国际会计准则与按照中国会计准则披露的财务报告中净利润和净资产差异情况。</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11" w:name="_Toc988900"/>
      <w:r>
        <w:rPr>
          <w:rFonts w:hint="default" w:ascii="Times New Roman" w:hAnsi="Times New Roman" w:eastAsia="宋体" w:cs="Times New Roman"/>
          <w:b/>
          <w:bCs/>
          <w:color w:val="auto"/>
          <w:sz w:val="21"/>
          <w:szCs w:val="21"/>
          <w:highlight w:val="none"/>
        </w:rPr>
        <w:t>2、同时按照境外会计准则与按照中国会计准则披露的财务报告中净利润和净资产差异情况</w:t>
      </w:r>
      <w:bookmarkEnd w:id="11"/>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公司报告期不存在按照境外会计准则与按照中国会计准则披露的财务报告中净利润和净资产差异情况。</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12" w:name="_Toc988901"/>
      <w:r>
        <w:rPr>
          <w:rFonts w:hint="default" w:ascii="Times New Roman" w:hAnsi="Times New Roman" w:eastAsia="宋体" w:cs="Times New Roman"/>
          <w:b/>
          <w:bCs/>
          <w:color w:val="auto"/>
          <w:sz w:val="24"/>
          <w:szCs w:val="24"/>
          <w:highlight w:val="none"/>
        </w:rPr>
        <w:t>六、非经常性损益项目及金额</w:t>
      </w:r>
      <w:bookmarkEnd w:id="12"/>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非流动性资产处置损益（包括已计提资产减值准备的冲销部分）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13,482,847.18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计入当期损益的政府补助（与公司正常经营业务密切相关、符合国家政策规定、按照确定的标准享有、对公司损益产生持续影响的政府补助除外）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6,615,967.02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4,269,867.25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2,224,771.49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22,049.57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22,121,860.39</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其他符合非经常性损益定义的损益项目的具体情况：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公司不存在其他符合非经常性损益定义的损益项目的具体情况。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将《公开发行证券的公司信息披露解释性公告第1号——非经常性损益》中列举的非经常性损益项目界定为经常性损益项目的情况说明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公司不存在将《公开发行证券的公司信息披露解释性公告第1号——非经常性损益》中列举的非经常性损益项目界定为经常性损益的项目的情形。</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bookmarkStart w:id="13" w:name="_Toc988902"/>
      <w:r>
        <w:rPr>
          <w:rFonts w:hint="default" w:ascii="Times New Roman" w:hAnsi="Times New Roman" w:eastAsia="宋体" w:cs="Times New Roman"/>
          <w:b/>
          <w:bCs/>
          <w:color w:val="auto"/>
          <w:sz w:val="32"/>
          <w:szCs w:val="32"/>
          <w:highlight w:val="none"/>
        </w:rPr>
        <w:t>第三节 管理层讨论与分析</w:t>
      </w:r>
      <w:bookmarkEnd w:id="13"/>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14" w:name="_Toc988903"/>
      <w:r>
        <w:rPr>
          <w:rFonts w:hint="default" w:ascii="Times New Roman" w:hAnsi="Times New Roman" w:eastAsia="宋体" w:cs="Times New Roman"/>
          <w:b/>
          <w:bCs/>
          <w:color w:val="auto"/>
          <w:sz w:val="24"/>
          <w:szCs w:val="24"/>
          <w:highlight w:val="none"/>
        </w:rPr>
        <w:t>一、报告期内公司从事的主要业务</w:t>
      </w:r>
      <w:bookmarkEnd w:id="14"/>
    </w:p>
    <w:p>
      <w:pPr>
        <w:pStyle w:val="4"/>
        <w:keepNext w:val="0"/>
        <w:keepLines w:val="0"/>
        <w:widowControl/>
        <w:suppressLineNumbers w:val="0"/>
        <w:spacing w:before="0" w:beforeAutospacing="0" w:after="0" w:afterAutospacing="0"/>
        <w:ind w:left="0" w:righ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公司主要经营模式为电力、热力生产，电力、热力产品均在湖北省就地消纳和销售。报告期内，公司经营模式未发生重大变化。</w:t>
      </w:r>
    </w:p>
    <w:p>
      <w:pPr>
        <w:pStyle w:val="4"/>
        <w:keepNext w:val="0"/>
        <w:keepLines w:val="0"/>
        <w:widowControl/>
        <w:suppressLineNumbers w:val="0"/>
        <w:spacing w:before="0" w:beforeAutospacing="0" w:after="0" w:afterAutospacing="0"/>
        <w:ind w:left="0" w:righ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公司电源种类主要为火电、水电、风电、光伏。报告期内，公司完成发电量167.15亿千瓦时，同比降低8.30%。其中，火电发电量146.90亿千瓦时，同比降低8.83%；水电发电量5.64亿千瓦时，同比降低33.89%；风电发电量2.01亿千瓦时，同比降低12.11%；光伏发电量12.60亿千瓦时，同比增长21.70%。完成售热量1098.89万吉焦，同比降低6.61%。不含税平均上网电价387.81元/千千瓦时，同比减少32.26元/千千瓦时。火电发电量下降主要是因为</w:t>
      </w:r>
      <w:r>
        <w:rPr>
          <w:rFonts w:hint="default" w:ascii="Times New Roman" w:hAnsi="Times New Roman" w:cs="Times New Roman"/>
          <w:color w:val="auto"/>
          <w:sz w:val="24"/>
          <w:szCs w:val="24"/>
          <w:highlight w:val="none"/>
          <w:lang w:val="en-US" w:eastAsia="zh-CN"/>
        </w:rPr>
        <w:t>省内</w:t>
      </w:r>
      <w:r>
        <w:rPr>
          <w:rFonts w:hint="default" w:ascii="Times New Roman" w:hAnsi="Times New Roman" w:eastAsia="宋体" w:cs="Times New Roman"/>
          <w:color w:val="auto"/>
          <w:sz w:val="24"/>
          <w:szCs w:val="24"/>
          <w:highlight w:val="none"/>
        </w:rPr>
        <w:t>新能源装机及发电量</w:t>
      </w:r>
      <w:r>
        <w:rPr>
          <w:rFonts w:hint="default" w:ascii="Times New Roman" w:hAnsi="Times New Roman" w:cs="Times New Roman"/>
          <w:color w:val="auto"/>
          <w:sz w:val="24"/>
          <w:szCs w:val="24"/>
          <w:highlight w:val="none"/>
          <w:lang w:eastAsia="zh-CN"/>
        </w:rPr>
        <w:t>快速</w:t>
      </w:r>
      <w:r>
        <w:rPr>
          <w:rFonts w:hint="default" w:ascii="Times New Roman" w:hAnsi="Times New Roman" w:eastAsia="宋体" w:cs="Times New Roman"/>
          <w:color w:val="auto"/>
          <w:sz w:val="24"/>
          <w:szCs w:val="24"/>
          <w:highlight w:val="none"/>
        </w:rPr>
        <w:t>增长，省外购电规模持续扩大，挤占了火电的发电空间。水电发电量下降的主要原因是上半年省内来水偏枯。风电发电量下降的主要原因是风速较常年</w:t>
      </w:r>
      <w:r>
        <w:rPr>
          <w:rFonts w:hint="default" w:ascii="Times New Roman" w:hAnsi="Times New Roman" w:cs="Times New Roman"/>
          <w:color w:val="auto"/>
          <w:sz w:val="24"/>
          <w:szCs w:val="24"/>
          <w:highlight w:val="none"/>
          <w:lang w:val="en-US" w:eastAsia="zh-CN"/>
        </w:rPr>
        <w:t>降低</w:t>
      </w:r>
      <w:r>
        <w:rPr>
          <w:rFonts w:hint="default" w:ascii="Times New Roman" w:hAnsi="Times New Roman" w:eastAsia="宋体" w:cs="Times New Roman"/>
          <w:color w:val="auto"/>
          <w:sz w:val="24"/>
          <w:szCs w:val="24"/>
          <w:highlight w:val="none"/>
        </w:rPr>
        <w:t>。上网电价下降的主要原因是湖北省新能源装机规模持续扩张，省间外购电量急剧增加，湖北电力市场总体上呈现供大于求的态势。截至6月底，新能源装机同比增长28%，省间输入电量同比增长45%，严重挤压存量机组发电空间，对省内发电企业形成</w:t>
      </w:r>
      <w:r>
        <w:rPr>
          <w:rFonts w:hint="default" w:ascii="Times New Roman" w:hAnsi="Times New Roman" w:cs="Times New Roman"/>
          <w:color w:val="auto"/>
          <w:sz w:val="24"/>
          <w:szCs w:val="24"/>
          <w:highlight w:val="none"/>
          <w:lang w:val="en-US" w:eastAsia="zh-CN"/>
        </w:rPr>
        <w:t>较大</w:t>
      </w:r>
      <w:r>
        <w:rPr>
          <w:rFonts w:hint="default" w:ascii="Times New Roman" w:hAnsi="Times New Roman" w:eastAsia="宋体" w:cs="Times New Roman"/>
          <w:color w:val="auto"/>
          <w:sz w:val="24"/>
          <w:szCs w:val="24"/>
          <w:highlight w:val="none"/>
        </w:rPr>
        <w:t>冲击。与此同时，湖北省交易政策发生调整，集中式新能源全面入市，以参与中长期交易的方式代替保障性消纳，</w:t>
      </w:r>
      <w:r>
        <w:rPr>
          <w:rFonts w:ascii="宋体" w:hAnsi="宋体" w:eastAsia="宋体" w:cs="宋体"/>
          <w:sz w:val="24"/>
          <w:szCs w:val="24"/>
        </w:rPr>
        <w:t>引入现货报价与市场供需比挂钩机制</w:t>
      </w:r>
      <w:r>
        <w:rPr>
          <w:rFonts w:hint="default" w:ascii="Times New Roman" w:hAnsi="Times New Roman" w:eastAsia="宋体" w:cs="Times New Roman"/>
          <w:color w:val="auto"/>
          <w:sz w:val="24"/>
          <w:szCs w:val="24"/>
          <w:highlight w:val="none"/>
        </w:rPr>
        <w:t>，影响整体价格。</w:t>
      </w:r>
    </w:p>
    <w:p>
      <w:pPr>
        <w:pStyle w:val="4"/>
        <w:keepNext w:val="0"/>
        <w:keepLines w:val="0"/>
        <w:widowControl/>
        <w:suppressLineNumbers w:val="0"/>
        <w:spacing w:before="0" w:beforeAutospacing="0" w:after="0" w:afterAutospacing="0"/>
        <w:ind w:left="0" w:righ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截至本报告期末，公司可控总装机容量1151.48万千瓦，其中火电831万千瓦，水电58.11万千瓦，风电26.4万千瓦，光伏233.81万千瓦，生物质2.16万千瓦。公司装机容量占湖北全省发电装机容量13,253.76万千瓦（含三峡2240万千瓦）的8.69%，公司火电装机容量占湖北全省火电装机容量4118.8万千瓦的20.18%。</w:t>
      </w:r>
    </w:p>
    <w:p>
      <w:pPr>
        <w:pStyle w:val="4"/>
        <w:keepNext w:val="0"/>
        <w:keepLines w:val="0"/>
        <w:widowControl/>
        <w:suppressLineNumbers w:val="0"/>
        <w:spacing w:before="0" w:beforeAutospacing="0" w:after="0" w:afterAutospacing="0"/>
        <w:ind w:left="0" w:righ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公司的主要业绩驱动因素包括但不限于发电量（售热量）、电价（热价）及燃料价格等方面。同时，产业政策、技术创新、人才队伍等亦会间接影响公司当期业绩和发展潜力。公司发电量（售热量）受到国家及湖北省整体经济运行形势、公司装机容量及装机结构、电力市场竞争等多重因素综合影响。电价、热价和燃料价格主要受国家政策、市场竞争和供求关系影响。</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公司需遵守《深圳证券交易所上市公司自律监管指引第3号——行业信息披露》中的“电力供应业”的披露要求</w:t>
      </w:r>
    </w:p>
    <w:p>
      <w:pPr>
        <w:pStyle w:val="4"/>
        <w:keepNext w:val="0"/>
        <w:keepLines w:val="0"/>
        <w:widowControl/>
        <w:suppressLineNumbers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报告期内，公司积极应对电力改革新形势，坚持市场导向，突出质量效益，优先发展风电，择优开发光伏，持续加快绿色低碳转型。报告期内取得50万千瓦风电资源开发权，获配新能源建设指标15万千瓦，其中风电7万千瓦、光伏8万千瓦。</w:t>
      </w:r>
    </w:p>
    <w:p>
      <w:pPr>
        <w:pStyle w:val="4"/>
        <w:keepNext w:val="0"/>
        <w:keepLines w:val="0"/>
        <w:widowControl/>
        <w:suppressLineNumbers w:val="0"/>
        <w:spacing w:before="0" w:beforeAutospacing="0" w:after="0" w:afterAutospacing="0"/>
        <w:ind w:left="0" w:right="0" w:firstLine="480" w:firstLineChars="20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4"/>
          <w:szCs w:val="24"/>
          <w:highlight w:val="none"/>
          <w:shd w:val="clear" w:fill="FFFFFF"/>
        </w:rPr>
        <w:t>报告期内</w:t>
      </w:r>
      <w:r>
        <w:rPr>
          <w:rFonts w:hint="default" w:ascii="Times New Roman" w:hAnsi="Times New Roman" w:eastAsia="宋体" w:cs="Times New Roman"/>
          <w:color w:val="auto"/>
          <w:sz w:val="24"/>
          <w:szCs w:val="24"/>
          <w:highlight w:val="none"/>
        </w:rPr>
        <w:t>，公司新能源项目新开工2.0955万千瓦，投产19.6955万千瓦。预计2025年全年，公司新能源项目发展计划为新开工20万千瓦、投产30万千瓦。</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15" w:name="_Toc988904"/>
      <w:r>
        <w:rPr>
          <w:rFonts w:hint="default" w:ascii="Times New Roman" w:hAnsi="Times New Roman" w:eastAsia="宋体" w:cs="Times New Roman"/>
          <w:b/>
          <w:bCs/>
          <w:color w:val="auto"/>
          <w:sz w:val="24"/>
          <w:szCs w:val="24"/>
          <w:highlight w:val="none"/>
        </w:rPr>
        <w:t>二、核心竞争力分析</w:t>
      </w:r>
      <w:bookmarkEnd w:id="15"/>
    </w:p>
    <w:p>
      <w:pPr>
        <w:pStyle w:val="4"/>
        <w:keepNext w:val="0"/>
        <w:keepLines w:val="0"/>
        <w:widowControl/>
        <w:suppressLineNumbers w:val="0"/>
        <w:spacing w:before="0" w:beforeAutospacing="0" w:after="0" w:afterAutospacing="0"/>
        <w:ind w:left="0" w:right="0" w:firstLine="482"/>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电源布局优势。公司所属电厂在湖北省内分布较为合理，子公司青山公司、长源一发处于湖北省用电负荷中心武汉市内，荆门公司处于湖北电网中部的电源支撑点，汉川公司、汉川一发为武汉江北的重要大电源点，以上区域布局有利于发挥各电厂的地理优势，提高机组利用小时，增加公司主营业务收入。</w:t>
      </w:r>
    </w:p>
    <w:p>
      <w:pPr>
        <w:pStyle w:val="4"/>
        <w:keepNext w:val="0"/>
        <w:keepLines w:val="0"/>
        <w:widowControl/>
        <w:suppressLineNumbers w:val="0"/>
        <w:spacing w:before="0" w:beforeAutospacing="0" w:after="0" w:afterAutospacing="0"/>
        <w:ind w:left="0" w:right="0" w:firstLine="482"/>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电煤保供控价优势。公司控股股东国家能源集团是全球规模最大的煤炭生产企业，并拥有自营铁路、港口和航运公司。其旗下国能销售集团有限公司为本公司重要的年度长协煤炭供应商，借助国家能源集团“煤炭产运需”一体化运营优势，煤源组织及运输保障能力强，且煤质优良、价格稳定，有利于增强公司电煤保供控价能力，有效应对煤炭市场风险。</w:t>
      </w:r>
    </w:p>
    <w:p>
      <w:pPr>
        <w:pStyle w:val="4"/>
        <w:keepNext w:val="0"/>
        <w:keepLines w:val="0"/>
        <w:widowControl/>
        <w:suppressLineNumbers w:val="0"/>
        <w:spacing w:before="0" w:beforeAutospacing="0" w:after="0" w:afterAutospacing="0"/>
        <w:ind w:left="0" w:right="0" w:firstLine="482"/>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技术经济指标优势。公司的火力发电机组全部为30万千瓦以上机组，并拥有2台100万千瓦超超临界燃煤机组。经过不断的技术改造，主要污染物排放指标优于国家标准，能耗指标处于区域先进水平，并已全部具备供热能力，在区域发电市场竞争中可比优势明显。</w:t>
      </w:r>
    </w:p>
    <w:p>
      <w:pPr>
        <w:pStyle w:val="4"/>
        <w:keepNext w:val="0"/>
        <w:keepLines w:val="0"/>
        <w:widowControl/>
        <w:suppressLineNumbers w:val="0"/>
        <w:spacing w:before="0" w:beforeAutospacing="0" w:after="0" w:afterAutospacing="0"/>
        <w:ind w:left="0" w:righ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4. 公司治理与人才优势。公司治理结构健全完善，形成了决策权、监督权和经营权之间有效制衡、运转协调的运行机制，保障了公司的规范高效运作。坚持实施人才强企战略，培养形成了一支结构合理、专业配套、素质优良，符合公司发展战略需要的忠诚、干净、担当的高素质干部人才队伍。</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16" w:name="_Toc988905"/>
      <w:r>
        <w:rPr>
          <w:rFonts w:hint="default" w:ascii="Times New Roman" w:hAnsi="Times New Roman" w:eastAsia="宋体" w:cs="Times New Roman"/>
          <w:b/>
          <w:bCs/>
          <w:color w:val="auto"/>
          <w:sz w:val="24"/>
          <w:szCs w:val="24"/>
          <w:highlight w:val="none"/>
        </w:rPr>
        <w:t>三、主营业务分析</w:t>
      </w:r>
      <w:bookmarkEnd w:id="16"/>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概述</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参见“一、报告期内公司从事的主要业务”相关内容。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主要财务数据同比变动情况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上年同期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同比增减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变动原因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7,946,512,693.52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6,089,148,301.50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6,979,706,063.53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管理费用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62,324,476.48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62,029,160.57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0.48%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财务费用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220,339,623.29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265,555,399.87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所得税费用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96,464,335.54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141,126,344.66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报告期利润总额同比减少所致。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研发投入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14,439,159.78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3,226,193.87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347.56%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报告期研发项目及费用增加所致。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1,671,739,919.76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1,962,625,203.31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-1,514,844,548.73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-2,272,866,536.77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报告期购建固定资产、无形资产和其他长期资产支付的现金同比减少所致。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筹资活动产生的现金流量净额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-112,493,561.40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-63,643,545.14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报告期内向银行借款同比减少、还款同比增加。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现金及现金等价物净增加额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44,401,809.63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-373,884,878.60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-111.88%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报告期内投资活动产生的现金流量净额增加所致。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利润总额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185,367,032.71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594,532,583.87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报告期内售电均价及售电量同比下降所致。</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公司报告期利润构成或利润来源发生重大变动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公司报告期利润构成或利润来源没有发生重大变动。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营业收入构成</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上年同期</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同比增减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占营业收入比重</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占营业收入比重</w:t>
            </w: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hint="default" w:ascii="Times New Roman" w:hAnsi="Times New Roman" w:eastAsia="宋体" w:cs="Times New Roman"/>
                <w:color w:val="auto"/>
                <w:sz w:val="18"/>
                <w:szCs w:val="18"/>
                <w:highlight w:val="none"/>
                <w:shd w:val="clear" w:color="auto" w:fill="D3D3D3"/>
              </w:rPr>
            </w:pPr>
            <w:r>
              <w:rPr>
                <w:rFonts w:hint="default" w:ascii="Times New Roman" w:hAnsi="Times New Roman" w:eastAsia="宋体" w:cs="Times New Roman"/>
                <w:color w:val="auto"/>
                <w:sz w:val="18"/>
                <w:szCs w:val="18"/>
                <w:highlight w:val="none"/>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7,946,512,693.52</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right"/>
              <w:rPr>
                <w:rFonts w:hint="default" w:ascii="Times New Roman" w:hAnsi="Times New Roman" w:eastAsia="宋体" w:cs="Times New Roman"/>
                <w:color w:val="auto"/>
                <w:sz w:val="18"/>
                <w:szCs w:val="18"/>
                <w:highlight w:val="none"/>
                <w:shd w:val="clear" w:color="auto" w:fill="D3D3D3"/>
              </w:rPr>
            </w:pPr>
            <w:r>
              <w:rPr>
                <w:rFonts w:hint="default" w:ascii="Times New Roman" w:hAnsi="Times New Roman" w:eastAsia="宋体" w:cs="Times New Roman"/>
                <w:color w:val="auto"/>
                <w:sz w:val="18"/>
                <w:szCs w:val="18"/>
                <w:highlight w:val="none"/>
                <w:shd w:val="clear" w:color="auto" w:fill="D3D3D3"/>
              </w:rPr>
              <w:t>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发电-电力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5,878,281,565.14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7,147,034,548.52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发电-热力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654,678,905.48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718,801,051.34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其他业务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81,527,187.58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80,677,093.66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发电-电力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5,878,281,565.14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7,147,034,548.52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发电-热力</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654,678,905.48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718,801,051.34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其他业务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81,527,187.58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80,677,093.66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7,946,512,693.52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-16.76%</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占公司营业收入或营业利润10%以上的行业、产品或地区情况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毛利率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营业成本比上年同期增减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毛利率比上年同期增减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 电力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5,878,281,565.14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5,365,866,145.69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 热力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654,678,905.48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701,954,652.62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 电力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5,878,281,565.14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5,365,866,145.69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 热力</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654,678,905.48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701,954,652.62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分地区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6,089,148,301.50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公司主营业务数据统计口径在报告期发生调整的情况下，公司最近1期按报告期末口径调整后的主营业务数据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17" w:name="_Toc988906"/>
      <w:r>
        <w:rPr>
          <w:rFonts w:hint="default" w:ascii="Times New Roman" w:hAnsi="Times New Roman" w:eastAsia="宋体" w:cs="Times New Roman"/>
          <w:b/>
          <w:bCs/>
          <w:color w:val="auto"/>
          <w:sz w:val="24"/>
          <w:szCs w:val="24"/>
          <w:highlight w:val="none"/>
        </w:rPr>
        <w:t>四、非主营业务分析</w:t>
      </w:r>
      <w:bookmarkEnd w:id="17"/>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占利润总额比例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形成原因说明</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是否具有可持续性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投资收益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-1,769,324.40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报告期按比例确认参股公司净利润所致。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资产减值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-10,255,697.13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报告期计提信用减值损失。</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营业外收入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4,754,089.12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报告期罚没利得、取得保险赔款等原因所致。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营业外支出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484,221.87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报告期罚款支出、非常损失等。</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18" w:name="_Toc988907"/>
      <w:r>
        <w:rPr>
          <w:rFonts w:hint="default" w:ascii="Times New Roman" w:hAnsi="Times New Roman" w:eastAsia="宋体" w:cs="Times New Roman"/>
          <w:b/>
          <w:bCs/>
          <w:color w:val="auto"/>
          <w:sz w:val="24"/>
          <w:szCs w:val="24"/>
          <w:highlight w:val="none"/>
        </w:rPr>
        <w:t>五、资产及负债状况分析</w:t>
      </w:r>
      <w:bookmarkEnd w:id="18"/>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19" w:name="_Toc988908"/>
      <w:r>
        <w:rPr>
          <w:rFonts w:hint="default" w:ascii="Times New Roman" w:hAnsi="Times New Roman" w:eastAsia="宋体" w:cs="Times New Roman"/>
          <w:b/>
          <w:bCs/>
          <w:color w:val="auto"/>
          <w:sz w:val="21"/>
          <w:szCs w:val="21"/>
          <w:highlight w:val="none"/>
        </w:rPr>
        <w:t>1、资产构成重大变动情况</w:t>
      </w:r>
      <w:bookmarkEnd w:id="19"/>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本报告期末</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上年末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比重增减</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重大变动说明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占总资产比例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占总资产比例</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货币资金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274,857,212.37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0.68%</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230,454,402.74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0.57%</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1,470,393,023.77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2,296,333,914.79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5.69%</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726,330,739.29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953,381,654.15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2.36%</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投资性房地产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125,497,161.77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0.31%</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128,422,232.66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0.32%</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长期股权投资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297,613,802.12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303,407,901.00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0.75%</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27,785,878,929.81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lang w:val="en-US" w:eastAsia="zh-CN"/>
              </w:rPr>
              <w:t>69.12</w:t>
            </w:r>
            <w:r>
              <w:rPr>
                <w:rFonts w:hint="default" w:ascii="Times New Roman" w:hAnsi="Times New Roman" w:eastAsia="宋体" w:cs="Times New Roman"/>
                <w:color w:val="auto"/>
                <w:sz w:val="18"/>
                <w:szCs w:val="18"/>
                <w:highlight w:val="none"/>
              </w:rPr>
              <w:t>%</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27,369,245,057.35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67.81%</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cs="Times New Roman"/>
                <w:i w:val="0"/>
                <w:iCs w:val="0"/>
                <w:color w:val="auto"/>
                <w:kern w:val="0"/>
                <w:sz w:val="18"/>
                <w:szCs w:val="18"/>
                <w:highlight w:val="none"/>
                <w:u w:val="none"/>
                <w:lang w:val="en-US" w:eastAsia="zh-CN" w:bidi="ar"/>
              </w:rPr>
              <w:t>1.31</w:t>
            </w: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在建工程</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4,787,715,573.31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lang w:val="en-US" w:eastAsia="zh-CN"/>
              </w:rPr>
              <w:t>11.91</w:t>
            </w:r>
            <w:r>
              <w:rPr>
                <w:rFonts w:hint="default" w:ascii="Times New Roman" w:hAnsi="Times New Roman" w:eastAsia="宋体" w:cs="Times New Roman"/>
                <w:color w:val="auto"/>
                <w:sz w:val="18"/>
                <w:szCs w:val="18"/>
                <w:highlight w:val="none"/>
              </w:rPr>
              <w:t>%</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3,908,071,475.49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9.68%</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r>
              <w:rPr>
                <w:rFonts w:hint="default" w:ascii="Times New Roman" w:hAnsi="Times New Roman"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使用权资产</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657,265,326.31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672,420,637.46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1.67%</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短期借款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4,407,006,373.33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4,230,984,364.79</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10.48%</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合同负债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69,338,872.24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0.17%</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47,011,110.83</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0.12%</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14,980,709,704.58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37.26%</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15,734,134,094.10</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38.98%</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-1.72%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租赁负债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579,910,330.21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570,860,301.55</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1.41%</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20" w:name="_Toc988909"/>
      <w:r>
        <w:rPr>
          <w:rFonts w:hint="default" w:ascii="Times New Roman" w:hAnsi="Times New Roman" w:eastAsia="宋体" w:cs="Times New Roman"/>
          <w:b/>
          <w:bCs/>
          <w:color w:val="auto"/>
          <w:sz w:val="21"/>
          <w:szCs w:val="21"/>
          <w:highlight w:val="none"/>
        </w:rPr>
        <w:t>2、主要境外资产情况</w:t>
      </w:r>
      <w:bookmarkEnd w:id="20"/>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21" w:name="_Toc988910"/>
      <w:r>
        <w:rPr>
          <w:rFonts w:hint="default" w:ascii="Times New Roman" w:hAnsi="Times New Roman" w:eastAsia="宋体" w:cs="Times New Roman"/>
          <w:b/>
          <w:bCs/>
          <w:color w:val="auto"/>
          <w:sz w:val="21"/>
          <w:szCs w:val="21"/>
          <w:highlight w:val="none"/>
        </w:rPr>
        <w:t>3、以公允价值计量的资产和负债</w:t>
      </w:r>
      <w:bookmarkEnd w:id="21"/>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本期公允价值变动损益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计入权益的累计公允价值变动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本期计提的减值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本期购买金额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本期出售金额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其他变动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金融资产</w:t>
            </w:r>
          </w:p>
        </w:tc>
        <w:tc>
          <w:tcPr>
            <w:tcW w:w="8568"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4.其他权益工具投资</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金融资产小计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上述合计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金融负债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其他变动的内容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报告期内公司主要资产计量属性是否发生重大变化</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22" w:name="_Toc988911"/>
      <w:r>
        <w:rPr>
          <w:rFonts w:hint="default" w:ascii="Times New Roman" w:hAnsi="Times New Roman" w:eastAsia="宋体" w:cs="Times New Roman"/>
          <w:b/>
          <w:bCs/>
          <w:color w:val="auto"/>
          <w:sz w:val="21"/>
          <w:szCs w:val="21"/>
          <w:highlight w:val="none"/>
        </w:rPr>
        <w:t>4、截至报告期末的资产权利受限情况</w:t>
      </w:r>
      <w:bookmarkEnd w:id="22"/>
    </w:p>
    <w:tbl>
      <w:tblPr>
        <w:tblStyle w:val="5"/>
        <w:tblW w:w="9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1"/>
        <w:gridCol w:w="2281"/>
        <w:gridCol w:w="6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2" w:hRule="atLeast"/>
          <w:jc w:val="center"/>
        </w:trPr>
        <w:tc>
          <w:tcPr>
            <w:tcW w:w="1001" w:type="dxa"/>
            <w:tcBorders>
              <w:top w:val="single" w:color="auto" w:sz="8" w:space="0"/>
              <w:left w:val="single" w:color="auto" w:sz="8" w:space="0"/>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项目</w:t>
            </w:r>
          </w:p>
        </w:tc>
        <w:tc>
          <w:tcPr>
            <w:tcW w:w="2281" w:type="dxa"/>
            <w:tcBorders>
              <w:top w:val="single" w:color="auto" w:sz="8" w:space="0"/>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期末账面价值（元）</w:t>
            </w:r>
          </w:p>
        </w:tc>
        <w:tc>
          <w:tcPr>
            <w:tcW w:w="6036" w:type="dxa"/>
            <w:tcBorders>
              <w:top w:val="single" w:color="auto" w:sz="8" w:space="0"/>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受限原因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2" w:hRule="atLeast"/>
          <w:jc w:val="center"/>
        </w:trPr>
        <w:tc>
          <w:tcPr>
            <w:tcW w:w="1001" w:type="dxa"/>
            <w:tcBorders>
              <w:top w:val="nil"/>
              <w:left w:val="single" w:color="auto" w:sz="8" w:space="0"/>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货币资金</w:t>
            </w:r>
          </w:p>
        </w:tc>
        <w:tc>
          <w:tcPr>
            <w:tcW w:w="2281"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729,300.00</w:t>
            </w:r>
          </w:p>
        </w:tc>
        <w:tc>
          <w:tcPr>
            <w:tcW w:w="6036" w:type="dxa"/>
            <w:tcBorders>
              <w:top w:val="nil"/>
              <w:left w:val="nil"/>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土地复垦保证金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jc w:val="center"/>
        </w:trPr>
        <w:tc>
          <w:tcPr>
            <w:tcW w:w="1001" w:type="dxa"/>
            <w:tcBorders>
              <w:top w:val="nil"/>
              <w:left w:val="single" w:color="auto" w:sz="8" w:space="0"/>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货币资金</w:t>
            </w:r>
          </w:p>
        </w:tc>
        <w:tc>
          <w:tcPr>
            <w:tcW w:w="2281"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41,928.58</w:t>
            </w:r>
          </w:p>
        </w:tc>
        <w:tc>
          <w:tcPr>
            <w:tcW w:w="6036" w:type="dxa"/>
            <w:tcBorders>
              <w:top w:val="nil"/>
              <w:left w:val="nil"/>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ETC</w:t>
            </w:r>
            <w:r>
              <w:rPr>
                <w:rFonts w:hint="default" w:ascii="Times New Roman" w:hAnsi="Times New Roman" w:eastAsia="宋体" w:cs="Times New Roman"/>
                <w:color w:val="auto"/>
                <w:sz w:val="18"/>
                <w:szCs w:val="18"/>
                <w:highlight w:val="none"/>
              </w:rPr>
              <w:t>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jc w:val="center"/>
        </w:trPr>
        <w:tc>
          <w:tcPr>
            <w:tcW w:w="1001" w:type="dxa"/>
            <w:tcBorders>
              <w:top w:val="nil"/>
              <w:left w:val="single" w:color="auto" w:sz="8" w:space="0"/>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应收账款</w:t>
            </w:r>
          </w:p>
        </w:tc>
        <w:tc>
          <w:tcPr>
            <w:tcW w:w="2281"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71,510,179.81</w:t>
            </w:r>
          </w:p>
        </w:tc>
        <w:tc>
          <w:tcPr>
            <w:tcW w:w="6036" w:type="dxa"/>
            <w:tcBorders>
              <w:top w:val="nil"/>
              <w:left w:val="nil"/>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质押借款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jc w:val="center"/>
        </w:trPr>
        <w:tc>
          <w:tcPr>
            <w:tcW w:w="1001" w:type="dxa"/>
            <w:tcBorders>
              <w:top w:val="nil"/>
              <w:left w:val="single" w:color="auto" w:sz="8" w:space="0"/>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合计</w:t>
            </w:r>
          </w:p>
        </w:tc>
        <w:tc>
          <w:tcPr>
            <w:tcW w:w="2281"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72,281,408.39</w:t>
            </w:r>
          </w:p>
        </w:tc>
        <w:tc>
          <w:tcPr>
            <w:tcW w:w="6036" w:type="dxa"/>
            <w:tcBorders>
              <w:top w:val="nil"/>
              <w:left w:val="nil"/>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1"/>
                <w:szCs w:val="21"/>
                <w:highlight w:val="none"/>
              </w:rPr>
              <w:t> </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23" w:name="_Toc988912"/>
      <w:r>
        <w:rPr>
          <w:rFonts w:hint="default" w:ascii="Times New Roman" w:hAnsi="Times New Roman" w:eastAsia="宋体" w:cs="Times New Roman"/>
          <w:b/>
          <w:bCs/>
          <w:color w:val="auto"/>
          <w:sz w:val="24"/>
          <w:szCs w:val="24"/>
          <w:highlight w:val="none"/>
        </w:rPr>
        <w:t>六、投资状况分析</w:t>
      </w:r>
      <w:bookmarkEnd w:id="23"/>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24" w:name="_Toc988913"/>
      <w:r>
        <w:rPr>
          <w:rFonts w:hint="default" w:ascii="Times New Roman" w:hAnsi="Times New Roman" w:eastAsia="宋体" w:cs="Times New Roman"/>
          <w:b/>
          <w:bCs/>
          <w:color w:val="auto"/>
          <w:sz w:val="21"/>
          <w:szCs w:val="21"/>
          <w:highlight w:val="none"/>
        </w:rPr>
        <w:t>1、总体情况</w:t>
      </w:r>
      <w:bookmarkEnd w:id="24"/>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上年同期投资额（元）</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变动幅度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1,398,718,655.11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2,123,148,800.34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-34.12%</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25" w:name="_Toc988914"/>
      <w:r>
        <w:rPr>
          <w:rFonts w:hint="default" w:ascii="Times New Roman" w:hAnsi="Times New Roman" w:eastAsia="宋体" w:cs="Times New Roman"/>
          <w:b/>
          <w:bCs/>
          <w:color w:val="auto"/>
          <w:sz w:val="21"/>
          <w:szCs w:val="21"/>
          <w:highlight w:val="none"/>
        </w:rPr>
        <w:t>2、报告期内获取的重大的股权投资情况</w:t>
      </w:r>
      <w:bookmarkEnd w:id="25"/>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26" w:name="_Toc988915"/>
      <w:r>
        <w:rPr>
          <w:rFonts w:hint="default" w:ascii="Times New Roman" w:hAnsi="Times New Roman" w:eastAsia="宋体" w:cs="Times New Roman"/>
          <w:b/>
          <w:bCs/>
          <w:color w:val="auto"/>
          <w:sz w:val="21"/>
          <w:szCs w:val="21"/>
          <w:highlight w:val="none"/>
        </w:rPr>
        <w:t>3、报告期内正在进行的重大的非股权投资情况</w:t>
      </w:r>
      <w:bookmarkEnd w:id="26"/>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投资方式</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是否为固定资产投资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投资项目涉及行业</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本报告期投入金额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截至报告期末累计实际投入金额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资金来源</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预计收益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截止报告期末累计实现的收益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未达到计划进度和预计收益的原因</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披露日期（如有）</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披露索引（如有）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国能长源汉川四期2×100万千瓦扩建项目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火电</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1,389,459,700.00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4,922,884,300.00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自有资金和银行贷款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10.89</w:t>
            </w:r>
            <w:r>
              <w:rPr>
                <w:rFonts w:hint="default" w:ascii="Times New Roman" w:hAnsi="Times New Roman" w:eastAsia="宋体" w:cs="Times New Roman"/>
                <w:color w:val="auto"/>
                <w:sz w:val="18"/>
                <w:szCs w:val="18"/>
                <w:highlight w:val="none"/>
                <w:lang w:val="en-US" w:eastAsia="zh-CN"/>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报告期内项目处于基建期。</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2023年04月26日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巨潮资讯网：2023-034，关于增资所属子公司并投资建设国能长源汉川四期2×100万千瓦扩建项目的公告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国能长源荆门市源网荷储百万千瓦新能源基地钟祥600MW子项目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1,639,384,400.00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自有资金和银行贷款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6.25</w:t>
            </w:r>
            <w:r>
              <w:rPr>
                <w:rFonts w:hint="default" w:ascii="Times New Roman" w:hAnsi="Times New Roman" w:eastAsia="宋体" w:cs="Times New Roman"/>
                <w:color w:val="auto"/>
                <w:sz w:val="18"/>
                <w:szCs w:val="18"/>
                <w:highlight w:val="none"/>
                <w:lang w:val="en-US" w:eastAsia="zh-CN"/>
              </w:rPr>
              <w:t>%</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6,914,812.90 </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报告期内项目尚未全容量投产</w:t>
            </w: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2022年07月21日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巨潮资讯网：2022-081，关于增资控股子公司并投资建设国能长源荆门市源网荷储百万千瓦新能源基地钟祥子项目的公告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国能长源汉川市新能源百万千瓦基地二期500MW项目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76,791,900.00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1,346,383,300.00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自有资金和银行贷款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60.50%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6.58</w:t>
            </w:r>
            <w:r>
              <w:rPr>
                <w:rFonts w:hint="default" w:ascii="Times New Roman" w:hAnsi="Times New Roman" w:eastAsia="宋体" w:cs="Times New Roman"/>
                <w:color w:val="auto"/>
                <w:sz w:val="18"/>
                <w:szCs w:val="18"/>
                <w:highlight w:val="none"/>
                <w:lang w:val="en-US" w:eastAsia="zh-CN"/>
              </w:rPr>
              <w:t>%</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795,670.21 </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租赁土地存在缺口。</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2022年07月21日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巨潮资讯网：2022-079，关于增资所属子公司并投资建设国能长源汉川市新能源百万千瓦基地二期项目的公告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国能长源随州市随县百万千瓦新能源多能互补基地一期400MW项目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10,480,000.00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1,974,620,000.00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自有资金和银行贷款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6.60</w:t>
            </w:r>
            <w:r>
              <w:rPr>
                <w:rFonts w:hint="default" w:ascii="Times New Roman" w:hAnsi="Times New Roman" w:eastAsia="宋体" w:cs="Times New Roman"/>
                <w:color w:val="auto"/>
                <w:sz w:val="18"/>
                <w:szCs w:val="18"/>
                <w:highlight w:val="none"/>
                <w:lang w:val="en-US" w:eastAsia="zh-CN"/>
              </w:rPr>
              <w:t>%</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-1,311,539.74 </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租赁土地存在缺口。</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2022年07月21日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巨潮资讯网：2022-080，关于增资全资子公司并投资建设国能长源随州市随县百万千瓦新能源多能互补基地一期项目的公告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国能长源潜江浩口200MW渔光互补光伏发电项目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53,150,000.00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582,250,000.00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自有资金和银行贷款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6.63</w:t>
            </w:r>
            <w:r>
              <w:rPr>
                <w:rFonts w:hint="default" w:ascii="Times New Roman" w:hAnsi="Times New Roman" w:eastAsia="宋体" w:cs="Times New Roman"/>
                <w:color w:val="auto"/>
                <w:sz w:val="18"/>
                <w:szCs w:val="18"/>
                <w:highlight w:val="none"/>
                <w:lang w:val="en-US" w:eastAsia="zh-CN"/>
              </w:rPr>
              <w:t>%</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9,181,761.85 </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租赁土地存在缺口。</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2023年03月23日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巨潮资讯网：2023-018，关于增资全资子公司并投资建设国能长源潜江浩口200MW渔光互补光伏发电项目的公告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国能长源汉川市新能源百万千瓦基地三期400MW项目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59,139,700.00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599,536,200.00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自有资金和银行贷款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6.59</w:t>
            </w:r>
            <w:r>
              <w:rPr>
                <w:rFonts w:hint="default" w:ascii="Times New Roman" w:hAnsi="Times New Roman" w:eastAsia="宋体" w:cs="Times New Roman"/>
                <w:color w:val="auto"/>
                <w:sz w:val="18"/>
                <w:szCs w:val="18"/>
                <w:highlight w:val="none"/>
                <w:lang w:val="en-US" w:eastAsia="zh-CN"/>
              </w:rPr>
              <w:t>%</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9,360,999.93 </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租赁土地存在缺口。</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2023年04月26日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巨潮资讯网：2023-035，关于增资所属子公司并投资建设国能长源汉川市新能源百万千瓦基地三期项目的公告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国能长源谷城县冷集镇230MW农光互补光伏发电项目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自建</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48,214,000.00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541,403,400.00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自有资金和银行贷款</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60.33%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7.84</w:t>
            </w:r>
            <w:r>
              <w:rPr>
                <w:rFonts w:hint="default" w:ascii="Times New Roman" w:hAnsi="Times New Roman" w:eastAsia="宋体" w:cs="Times New Roman"/>
                <w:color w:val="auto"/>
                <w:sz w:val="18"/>
                <w:szCs w:val="18"/>
                <w:highlight w:val="none"/>
                <w:lang w:val="en-US" w:eastAsia="zh-CN"/>
              </w:rPr>
              <w:t>%</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3,254,039.62 </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租赁土地存在缺口。</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2023年11月30日</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巨潮资讯网：2023-107，关于增资全资子公司并投资建设国能长源谷城县冷集镇230MW农光互补光伏发电项目的公告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1,637,235,300.00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11,606,461,600.00</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color w:val="auto"/>
                <w:sz w:val="18"/>
                <w:szCs w:val="18"/>
                <w:highlight w:val="none"/>
                <w:lang w:val="en-US" w:eastAsia="zh-CN"/>
              </w:rPr>
              <w:t>28,195,744.77</w:t>
            </w:r>
            <w:r>
              <w:rPr>
                <w:rFonts w:hint="default" w:ascii="Times New Roman" w:hAnsi="Times New Roman" w:eastAsia="宋体" w:cs="Times New Roman"/>
                <w:i w:val="0"/>
                <w:iCs w:val="0"/>
                <w:color w:val="auto"/>
                <w:kern w:val="0"/>
                <w:sz w:val="22"/>
                <w:szCs w:val="22"/>
                <w:highlight w:val="none"/>
                <w:u w:val="none"/>
                <w:lang w:val="en-US" w:eastAsia="zh-CN" w:bidi="ar"/>
              </w:rPr>
              <w:t xml:space="preserve"> </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bl>
    <w:p>
      <w:pPr>
        <w:spacing w:line="240" w:lineRule="exact"/>
        <w:jc w:val="left"/>
        <w:rPr>
          <w:rFonts w:hint="default" w:ascii="Times New Roman" w:hAnsi="Times New Roman" w:cs="Times New Roman"/>
          <w:color w:val="auto"/>
          <w:szCs w:val="21"/>
          <w:highlight w:val="none"/>
        </w:rPr>
      </w:pPr>
      <w:bookmarkStart w:id="27" w:name="_Toc988916"/>
    </w:p>
    <w:p>
      <w:pPr>
        <w:spacing w:line="240" w:lineRule="exact"/>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注：预计收益为项目全投资收益率（税前）。</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4、金融资产投资</w:t>
      </w:r>
      <w:bookmarkEnd w:id="27"/>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bookmarkStart w:id="28" w:name="_Toc988917"/>
      <w:r>
        <w:rPr>
          <w:rFonts w:hint="default" w:ascii="Times New Roman" w:hAnsi="Times New Roman" w:eastAsia="宋体" w:cs="Times New Roman"/>
          <w:b/>
          <w:bCs/>
          <w:color w:val="auto"/>
          <w:sz w:val="18"/>
          <w:szCs w:val="18"/>
          <w:highlight w:val="none"/>
        </w:rPr>
        <w:t>（1） 证券投资情况</w:t>
      </w:r>
      <w:bookmarkEnd w:id="28"/>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公司报告期不存在证券投资。</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bookmarkStart w:id="29" w:name="_Toc988918"/>
      <w:r>
        <w:rPr>
          <w:rFonts w:hint="default" w:ascii="Times New Roman" w:hAnsi="Times New Roman" w:eastAsia="宋体" w:cs="Times New Roman"/>
          <w:b/>
          <w:bCs/>
          <w:color w:val="auto"/>
          <w:sz w:val="18"/>
          <w:szCs w:val="18"/>
          <w:highlight w:val="none"/>
        </w:rPr>
        <w:t>（2） 衍生品投资情况</w:t>
      </w:r>
      <w:bookmarkEnd w:id="29"/>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公司报告期不存在衍生品投资。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30" w:name="_Toc988919"/>
      <w:r>
        <w:rPr>
          <w:rFonts w:hint="default" w:ascii="Times New Roman" w:hAnsi="Times New Roman" w:eastAsia="宋体" w:cs="Times New Roman"/>
          <w:b/>
          <w:bCs/>
          <w:color w:val="auto"/>
          <w:sz w:val="21"/>
          <w:szCs w:val="21"/>
          <w:highlight w:val="none"/>
        </w:rPr>
        <w:t>5、募集资金使用情况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募集资金总体使用情况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单位：万元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募集年份</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募集方式</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证券上市日期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募集资金总额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募集资金净额（1）</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本期已使用募集资金总额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已累计使用募集资金总额（2）</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报告期末募集资金使用比例（3）=（2）/（1）</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报告期内变更用途的募集资金总额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累计变更用途的募集资金总额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累计变更用途的募集资金总额比例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尚未使用募集资金总额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尚未使用募集资金用途及去向</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闲置两年以上募集资金金额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向特定对象发行股票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2025年12月03日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299,154.12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406.44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292,528.63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97.79%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6,486.81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待支付募投项目所需资金</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300,000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299,154.12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406.44</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292,528.63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97.79%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6,486.81</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4"/>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center"/>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募集资金总体使用情况说明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4"/>
            <w:tcBorders>
              <w:top w:val="single" w:color="auto" w:sz="2" w:space="0"/>
              <w:left w:val="single" w:color="auto" w:sz="2" w:space="0"/>
              <w:bottom w:val="single" w:color="auto" w:sz="2" w:space="0"/>
              <w:right w:val="single" w:color="auto" w:sz="2" w:space="0"/>
            </w:tcBorders>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 xml:space="preserve"> 2025年上半年，募集资金使用投向国能长源谷城县冷集镇230MW农光互补光伏发电项目建设406.44万元，收到银行利息收入净额（减手续费）17.62万元。截止2025年6月30日，募集资金累计使用 293,513.26 万元，其中投向募集承诺投资项目资金292,528.63万元（含补流资金46,683.44万元、置换已预先投入募集资金使用项目自有资金243,238.75万元、谷城冷集募集项目资金2,606.44万元）；支付发行承销费用 845.88 万元；支付中介费用138.68万元（含置换发行费用47.17万元）；支付银行手续费0.07万元；收到银行利息收入46.82万元，募集资金余额为6,533.56万元。</w:t>
            </w:r>
          </w:p>
        </w:tc>
      </w:tr>
    </w:tbl>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募集资金承诺项目情况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单位：万元</w:t>
      </w:r>
    </w:p>
    <w:tbl>
      <w:tblPr>
        <w:tblStyle w:val="5"/>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融资项目名称</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证券上市日期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承诺投资项目和超募资金投向</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项目性质</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是否已变更项目(含部分变更)</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募集资金承诺投资总额</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调整后投资总额(1)</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本报告期投入金额</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截至期末累计投入金额(2)</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截至期末投资进度(3)＝(2)/(1)</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项目达到预定可使用状态日期</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本报告期实现的效益</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截止报告期末累计实现的效益</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是否达到预计效益</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项目可行性是否发生重大变化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9645"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承诺投资项目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汉川市新能源百万千瓦基地二期项目</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60,562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60,562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57,154.23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94.37%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已完成并网20.4万千瓦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-487.44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79.57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汉川市新能源百万千瓦基地三期项目</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41,418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41,418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41,418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已完成并网16.2万千瓦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-710.97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936.1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国能长源随州市随县百万千瓦新能源多能互补基地二期 100MW 项目</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16,800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16,800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16,800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2025年05月30日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-413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-535.09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国能长源荆门市源网荷储百万千瓦级新能源基地钟祥子项目光伏电站</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25,820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25,820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25,820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已完成并网30万千瓦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-425.68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989.08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85"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国能长源潜江浩口200MW渔光互补光伏发电项目</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30,710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30,710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30,710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已完成并网17万千瓦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-585.68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918.18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国能长源谷城县冷集镇230MW农光互补光伏发电项目</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35,400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35,400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406.44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32,320.96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91.30%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已完成并网11.01万千瓦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240.82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325.4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国能长源荆州市纪南镇100MW渔光互补光伏发电项目</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12,940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12,940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12,940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2024年09月12日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-626.66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1,145.42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国能长源巴东县沿渡河镇100MW农光互补光伏发电项目</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13,632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13,632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13,632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2024年11月27日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13.93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789.25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国能长源荆门屈家岭罗汉寺70MW农光伏发电项目（一期）</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7,505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7,505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7,505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2024年03月06日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-91.78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771.56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国电长源谷城县盛康镇 50MW农光互补光伏发电项目</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2024年12月03日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项目建设资金</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新能源</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7,545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7,545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bidi="ar-SA"/>
              </w:rPr>
              <w:t>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7,545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2025年07月10日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-215.13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102.29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不适用</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7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承诺投资项目小计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252,332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252,332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406.44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245,845.19</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-3,301.59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5,521.75</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5"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rPr>
              <w:t>超募资金投向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5" w:type="dxa"/>
            <w:gridSpan w:val="15"/>
            <w:tcBorders>
              <w:top w:val="single" w:color="auto" w:sz="2" w:space="0"/>
              <w:left w:val="single" w:color="auto" w:sz="2" w:space="0"/>
              <w:bottom w:val="single" w:color="auto" w:sz="2" w:space="0"/>
              <w:right w:val="single" w:color="auto" w:sz="2" w:space="0"/>
            </w:tcBorders>
            <w:shd w:val="clear" w:color="auto" w:fill="auto"/>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7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归还银行贷款（如有）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47,668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47,668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46,683.44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97.93%</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7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补充流动资金（如有）</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47,668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47,668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46,683.44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97.93%</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7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超募资金投向小计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0</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572"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406.44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292,528.63</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-3,301.59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bidi="ar-SA"/>
              </w:rPr>
              <w:t>5,521.75</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分项目说明未达到计划进度、预计收益的情况和原因（含“是否达到预计效益”选择“不适用”的原因）</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截至报告期末，汉川市新能源百万千瓦基地二期项目、汉川市新能源百万千瓦基地三期项目、国能长源荆门市源网荷储百万千瓦级新能源基地钟祥子项目、国能长源潜江浩口200MW渔光互补光伏发电项目、国能长源谷城县冷集镇230MW农光互补光伏发电项目均尚未完成全容量并网，因此“是否达到预计效益”列为不适用。</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县百万千瓦新能源多能互补基地二期100MW项目、国能长源荆州市纪南镇100MW渔光互补光伏发电项目、国能长源巴东县沿渡河镇100MW农光互补光伏发电项目、、国电长源谷城县盛康镇50MW农光互补光伏发电项目达到预定可使用状态至本报告期末尚不足一个完整年度，因此“是否达到预计效益”列为不适用。</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届家岭罗汉寺70MW农光互补光伏发电项目(一期)受《关于深化新能源上网电价市场化改革促进新能源高质量发展的通知》（发改价格〔2025〕136号）政策影响，实际上网电价未达预期，截至报告期末，项目效益暂时未达到预计效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项目可行性发生重大变化的情况说明</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超募资金的金额、用途及使用进展情况</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存在擅自变更募集资金用途、违规占用募集资金的情形</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募集资金投资项目实施地点变更情况</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募集资金投资项目实施方式调整情况</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募集资金投资项目先期投入及置换情况</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bidi="ar-SA"/>
              </w:rPr>
              <w:t>根据中兴华会计师事务所（特殊普通合伙）出具《国家能源集团长源电力股份有限公司以自筹资金预先投入募集资金投资项目及支付发行费用的鉴证报告》（中兴华核字（2024）第 011515 号），截至 2024年11月5日，公司以自有资金预先投入募集资金使用项目的实际投资额为 349,277.05 万元。 2024年12月11日，公司第十届董事会第二十九次会议，审议通过《关于使用募集资金置换预先投入项目的自有资金的议案》。公司董事会同意公司以募集资金人民币 243,285.92 万元置换已预先投入募集资金使用项目及支付发行费用的自有资金。截至2024年12月12日，前述募集资金置换已实施完成。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用闲置募集资金暂时补充流动资金情况</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项目实施出现募集资金结余的金额及原因</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尚未使用的募集资金用途及去向</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待支付募投项目所需资金。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8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募集资金使用及披露中存在的问题或其他情况</w:t>
            </w:r>
          </w:p>
        </w:tc>
        <w:tc>
          <w:tcPr>
            <w:tcW w:w="8359" w:type="dxa"/>
            <w:gridSpan w:val="1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r>
    </w:tbl>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募集资金变更项目情况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不适用</w:t>
      </w:r>
    </w:p>
    <w:bookmarkEnd w:id="30"/>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31" w:name="_Toc988923"/>
      <w:r>
        <w:rPr>
          <w:rFonts w:hint="default" w:ascii="Times New Roman" w:hAnsi="Times New Roman" w:cs="Times New Roman"/>
          <w:b/>
          <w:bCs/>
          <w:color w:val="auto"/>
          <w:sz w:val="24"/>
          <w:szCs w:val="24"/>
          <w:highlight w:val="none"/>
          <w:lang w:val="en-US" w:eastAsia="zh-CN"/>
        </w:rPr>
        <w:t>七</w:t>
      </w:r>
      <w:r>
        <w:rPr>
          <w:rFonts w:hint="default" w:ascii="Times New Roman" w:hAnsi="Times New Roman" w:eastAsia="宋体" w:cs="Times New Roman"/>
          <w:b/>
          <w:bCs/>
          <w:color w:val="auto"/>
          <w:sz w:val="24"/>
          <w:szCs w:val="24"/>
          <w:highlight w:val="none"/>
        </w:rPr>
        <w:t>、重大资产和股权出售</w:t>
      </w:r>
      <w:bookmarkEnd w:id="31"/>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32" w:name="_Toc988924"/>
      <w:r>
        <w:rPr>
          <w:rFonts w:hint="default" w:ascii="Times New Roman" w:hAnsi="Times New Roman" w:eastAsia="宋体" w:cs="Times New Roman"/>
          <w:b/>
          <w:bCs/>
          <w:color w:val="auto"/>
          <w:sz w:val="21"/>
          <w:szCs w:val="21"/>
          <w:highlight w:val="none"/>
        </w:rPr>
        <w:t>1、出售重大资产情况</w:t>
      </w:r>
      <w:bookmarkEnd w:id="32"/>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公司报告期未出售重大资产。</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33" w:name="_Toc988925"/>
      <w:r>
        <w:rPr>
          <w:rFonts w:hint="default" w:ascii="Times New Roman" w:hAnsi="Times New Roman" w:eastAsia="宋体" w:cs="Times New Roman"/>
          <w:b/>
          <w:bCs/>
          <w:color w:val="auto"/>
          <w:sz w:val="21"/>
          <w:szCs w:val="21"/>
          <w:highlight w:val="none"/>
        </w:rPr>
        <w:t>2、出售重大股权情况</w:t>
      </w:r>
      <w:bookmarkEnd w:id="33"/>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34" w:name="_Toc988926"/>
      <w:r>
        <w:rPr>
          <w:rFonts w:hint="default" w:ascii="Times New Roman" w:hAnsi="Times New Roman" w:eastAsia="宋体" w:cs="Times New Roman"/>
          <w:b/>
          <w:bCs/>
          <w:color w:val="auto"/>
          <w:sz w:val="24"/>
          <w:szCs w:val="24"/>
          <w:highlight w:val="none"/>
        </w:rPr>
        <w:t>八、主要控股参股公司分析</w:t>
      </w:r>
      <w:bookmarkEnd w:id="34"/>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主要子公司及对公司净利润影响达10%以上的参股公司情况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834"/>
        <w:gridCol w:w="650"/>
        <w:gridCol w:w="1088"/>
        <w:gridCol w:w="1075"/>
        <w:gridCol w:w="1112"/>
        <w:gridCol w:w="1100"/>
        <w:gridCol w:w="1388"/>
        <w:gridCol w:w="13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3"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公司名称</w:t>
            </w:r>
          </w:p>
        </w:tc>
        <w:tc>
          <w:tcPr>
            <w:tcW w:w="83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公司类型</w:t>
            </w:r>
          </w:p>
        </w:tc>
        <w:tc>
          <w:tcPr>
            <w:tcW w:w="65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主要业务</w:t>
            </w:r>
          </w:p>
        </w:tc>
        <w:tc>
          <w:tcPr>
            <w:tcW w:w="108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注册资本</w:t>
            </w:r>
          </w:p>
        </w:tc>
        <w:tc>
          <w:tcPr>
            <w:tcW w:w="107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总资产</w:t>
            </w:r>
          </w:p>
        </w:tc>
        <w:tc>
          <w:tcPr>
            <w:tcW w:w="1112"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净资产</w:t>
            </w:r>
          </w:p>
        </w:tc>
        <w:tc>
          <w:tcPr>
            <w:tcW w:w="11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138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营业利润</w:t>
            </w:r>
          </w:p>
        </w:tc>
        <w:tc>
          <w:tcPr>
            <w:tcW w:w="132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净利润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国电长源汉川第一发电有限公司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86,164,800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2,541,714,826.13</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1,774,145,492.97</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968,318,452.22</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65,200,191.82</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40,142,209.47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国能长源荆门发电有限公司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873</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600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1,705,058,203.66</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1,202,860,831.81</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1,055,638,848.45</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75,845,501.42</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53,609,841.19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国能长源荆州热电有限公司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113</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600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3,498,889,357.86</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1,518,906,195.22</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1,161,213,204.65</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67,771,691.21</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50,316,026.85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国电长源第一发电有限责任公司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345</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106</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420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533,011,941.36</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443,807,075.20</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189,109,392.83</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-15,634,731.40</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-15,586,231.40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国能长源武汉实业有限公司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房屋出租与物业管理</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191,671,888.98</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114,245,153.95</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31,345,007.85</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6,829,328.35</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4,864,098.03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国能长源湖北新能源有限公司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风力发电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987</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1,377,554,258.79</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502,181,440.03</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46,227,781.66</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-39,635,657.72</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-37,014,719.90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国能长源能源销售有限公司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售电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010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235,206,703.84</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221,583,947.97</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16,334,363.18</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7,722,904.62</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5,629,615.50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国能长源随州发电有限公司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500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4,471,641,659.41</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1,464,774,673.95</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831,736,443.73</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93,354,037.31</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87,362,209.35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国能长源汉川发电有限公司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939</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500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11,763,775,196.35</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3,594,235,696.80</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1,231,375,215.39</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94,582,414.88</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74,720,114.45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国能长源武汉青山热电有限公司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815</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870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1,821,284,873.19</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1,150,821,098.75</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847,924,282.32</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25,114,634.89</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25,326,553.05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国能长源恩施水电开发有限公司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637</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988</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527</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2,325,152,539.73</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1,084,108,230.53</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148,769,336.94</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5,787,834.00</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5,014,825.06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国能长源十堰水电开发有限公司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516</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750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729,201,483.22</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445,959,455.42</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8,418,459.58</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-8,450,736.16</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-6,863,343.06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750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399,024,587.55</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147,071,003.77</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6,093,323.81</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-9,442,216.03</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-10,205,699.25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国能长源安陆新能源有限公司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风力发电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800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287,512,063.25</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97,883,889.33</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8,057,263.42</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-1,837,723.57</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-2,208,300.74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国能长源石首综合能源有限公司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610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344,829,781.89</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128,470,553.57</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9,416,167.30</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-3,106,036.64</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-3,355,803.50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302</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949</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900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967,419,038.52</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370,986,416.79</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32,608,823.95</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-3,542,919.60</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-4,256,780.52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国能长源公安县新能源有限公司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670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455,919,378.76</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170,007,698.33</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12,805,585.24</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-3,432,637.15</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-3,744,379.14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国能长源钟祥新能源有限公司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690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1,542,643,177.23</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343,360,968.41</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49,975,671.67</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-6,755,291.25</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-7,232,735.63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国能长源随县新能源有限公司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498</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040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2,417,888,772.97</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456,565,268.67</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58,185,362.77</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-14,932,515.86</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-13,169,667.16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485,091,842.87</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140,435,745.59</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8,958,835.84</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-6,286,841.07</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-6,266,593.81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国能长源巴东新能源有限公司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100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346,468,157.54</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108,572,075.58</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10,672,344.61</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176,144.77</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139,334.21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225</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800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755,503,719.01</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230,437,653.95</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13,379,442.35</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-239,648.45</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256,922.13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国能长源荆门屈家岭新能源有限公司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328,349,095.59</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94,631,647.90</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9,109,004.35</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-374,965.77</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-917,819.02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国能长源潜江新能源有限公司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665,145,820.53</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202,916,320.24</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9,033,938.45</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-6,010,167.54</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-5,856,813.34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国能长源新能源开发（江陵县）有限公司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30,807,551.87</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25,591,509.60</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1,099,947.51</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1,067,696.05</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1,067,696.05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武汉华工创业投资有限责任公司</w:t>
            </w:r>
          </w:p>
        </w:tc>
        <w:tc>
          <w:tcPr>
            <w:tcW w:w="83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参股公司</w:t>
            </w:r>
          </w:p>
        </w:tc>
        <w:tc>
          <w:tcPr>
            <w:tcW w:w="65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创业投资</w:t>
            </w:r>
          </w:p>
        </w:tc>
        <w:tc>
          <w:tcPr>
            <w:tcW w:w="10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600</w:t>
            </w:r>
            <w:r>
              <w:rPr>
                <w:rFonts w:hint="default" w:ascii="Times New Roman" w:hAnsi="Times New Roman" w:cs="Times New Roman"/>
                <w:color w:val="auto"/>
                <w:sz w:val="18"/>
                <w:szCs w:val="18"/>
                <w:highlight w:val="none"/>
                <w:lang w:val="en-US" w:eastAsia="zh-CN"/>
              </w:rPr>
              <w:t>,</w:t>
            </w:r>
            <w:r>
              <w:rPr>
                <w:rFonts w:hint="default" w:ascii="Times New Roman" w:hAnsi="Times New Roman" w:eastAsia="宋体" w:cs="Times New Roman"/>
                <w:color w:val="auto"/>
                <w:sz w:val="18"/>
                <w:szCs w:val="18"/>
                <w:highlight w:val="none"/>
              </w:rPr>
              <w:t>000</w:t>
            </w:r>
          </w:p>
        </w:tc>
        <w:tc>
          <w:tcPr>
            <w:tcW w:w="107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778,848,287.69</w:t>
            </w:r>
          </w:p>
        </w:tc>
        <w:tc>
          <w:tcPr>
            <w:tcW w:w="1112"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678,667,467.19</w:t>
            </w:r>
          </w:p>
        </w:tc>
        <w:tc>
          <w:tcPr>
            <w:tcW w:w="11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28,674,439.08</w:t>
            </w:r>
          </w:p>
        </w:tc>
        <w:tc>
          <w:tcPr>
            <w:tcW w:w="138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1,349,694.83</w:t>
            </w:r>
          </w:p>
        </w:tc>
        <w:tc>
          <w:tcPr>
            <w:tcW w:w="132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1,584,229.60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报告期内取得和处置子公司的情况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主要控股参股公司情况说明</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汉川一发是以火力发电为主的企业，装机容量为4台33万千瓦燃煤机组，注册资本8,616.48万元，本公司出资占其注册资本的100%。截至报告期末，汉川一发资产总值254,171.48万元，净资产177,414.55万元，报告期内完成发电量21.59亿千瓦时，售热量233.51万吉焦，实现营业收入96,831.85万元、营业利润6,520.02万元、净利润4,014.22万元。汉川一发报告期内净利润同比减少2,141.64万元，主要原因是售电均价及售电量同比下降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荆门公司是以火力发电为主的企业，装机容量为2台64万千瓦燃煤机组，注册资本87,360万元，本公司出资86,400万元，占其注册资本的98.9%。截至报告期末，荆门公司资产总值为170,505.82万元，净资产120,286.08万元，报告期内完成发电量24.67亿千瓦时，售热量208.26万吉焦，实现营业收入105,563.88万元、营业利润7,584.55万元、净利润5,360.98万元。荆门公司报告期内净利润同比减少178.74万元，主要原因是售电均价同比下降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3）荆州公司是以火力发电为主的企业，装机容量为2台33万千瓦及2台35万千瓦热电联产机组。注册资本为111,360万元，本公司出资占其注册资本的100%。截至报告期末，荆州公司资产总值为349,888.94万元，净资产151,890.62万元，报告期内完成发电量26.28亿千瓦时，售热量292.32万吉焦，实现营业收入116,121.32万元、营业利润6,777.17万元、净利润5,031.60万元。荆州公司报告期内净利润同比减少4,474.88万元，主要原因是售电均价同比下降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4）长源一发是以火力发电为主的企业，装机容量为1台33万千瓦燃煤机组，注册资本为34,510.64万元，本公司出资占注册资本的84.42%。截至报告期末，长源一发资产总值为53,301.19万元，净资产44,380.71万元，报告期内完成发电量4.77亿千瓦时，售热量5.89万吉焦，实现营业收入18,910.94万元、营业利润-1,563.47万元、净利润-1,558.62万元。长源一发报告期内净利润同比减少2,456.18万元，主要原因是售电均价及售电量同比下降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5）武汉实业主要业务为房屋出租、物业管理与餐饮服务等，其主要资产为国家能源大厦。武汉实业注册资本为10,000万元，本公司出资占其注册资本的100%。截至报告期末，武汉实业资产总值19,167.19万元，净资产11,424.52万元，报告期内实现营业收入3,134.50万元、营业利润682.93万元、净利润486.41万元。武汉实业报告期内净利润同比增加15.32万元，主要原因是营业收入同比增加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6）湖北新能源是以风力发电为主的企业，装机容量21.4万千瓦，注册资本为38,898.70万元，本公司出资占其注册资本的100%。截至报告期末，湖北新能源资产总值为137,755.43万元，净资产50,218.14万元，报告期内完成发电量1.63亿千瓦时，实现营业收入4,622.78万元、营业利润-3,963.57万元、净利润-3,701.47万元。湖北新能源报告期内净利润同比减少4,277.43万元，主要原因是售电均价同比降低和售电量同比减少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7）售电公司是以电力销售为主的企业，注册资本20,001万元，本公司出资占其注册资本的100%。截至报告期末，售电公司资产总值为23,520.67万元，净资产22,158.39万元，报告期内实现营业收入1,633.44万元、营业利润772.29万元、净利润562.96万元。售电公司净利润同比增加336.67万元，主要原因是售电业务代理费增加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8）随州公司是以火力发电为主的企业，装机容量为2台66万千瓦燃煤机组。注册资本为150,000万元，本公司出资占其注册资本的100%。截至报告期末，随州公司资产总值为447,164.17万元，净资产146,477.47万元，报告期内完成发电量22.38亿千瓦时，售热量19.89万吉焦，实现营业收入83,173.64万元、营业利润9,335.40万元、净利润8,736.22万元。随州公司报告期内净利润同比增加6,990.69万元，主要原因是入炉综合标煤单价同比下降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9）汉川公司是以火力发电为主的企业，现有装机容量为2台100万千瓦燃煤机组，在建2台100万千瓦燃煤机组，注册资本293,950万元。截至报告期末，汉川公司资产总值为1,176,377.52万元，净资产359,423.57万元，报告期内完成发电量32.59亿千瓦时，售热量126.45万吉焦，实现营业收入123,137.52万元、营业利润9,458.24万元、净利润7,472.01万元。汉川公司报告期内净利润同比减少9,669.34万元，主要原因是售电量及售电均价同比下降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10）青山公司是以火力发电为主的企业，装机容量为2台35万千瓦热电联产机组，注册资本为81,587万元。截至报告期末，青山公司资产总值为182,128.49万元，净资产115,082.11万元，报告期内完成发电量16.79亿千瓦时，售热量212.56万吉焦，实现营业收入84,792.43万元、营业利润2,511.46万元、净利润2,532.66万元。青山公司报告期内净利润同比减少750.29万元，主要原因是售电均价同比下降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11）恩施水电是以水力发电为主的企业，装机容量37.81万千瓦，注册资本63,798.85万元。截至报告期末，恩施公司资产总值为232,515.25万元，净资产108,410.82万元，报告期内实现完成发电量4.88亿千瓦时，营业收入14,876.93万元、营业利润578.78万元、净利润501.48万元。恩施公司净利润同比减少5,519.25万元，主要原因是上半年来水同比减少导致发电量减少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12）十堰水电是以水力发电为主的企业，装机容量为8.9万千瓦，注册资本为51,675万元。截至报告期末，十堰公司资产总值为72,920.15万元，净资产44,595.95万元，报告期内完成发电量2.70亿千瓦时，实现营业收入841.85万元、营业利润-845.07万元、净利润-686.33万元。十堰公司报告期内净利润同比减少803.34万元，主要原因是上半年来水同比减少导致发电量减少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13）汉川新能源是以光伏发电为主的企业，注册资本为13,475万元，本公司出资占其注册资本的100%。截至报告期末，汉川新能源资产总值为39,902.46万元，净资产14,707.10万元，报告期内完成发电量0.37亿千瓦时，实现营业收入609.33万元、营业利润-944.22万元、净利润-1,020.57万元。汉川新能源报告期内净利润同比减少1,022.60万元，主要原因是售电均价及售电量同比下降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14）安陆新能源是以风力发电为主的企业，装机容量5万千瓦，注册资本为11,280万元，本公司出资占其注册资本的100%。截至报告期末，安陆新能源资产总值为28,751.21万元，净资产9,788.39万元，报告期内完成发电量0.37亿千瓦时，实现营业收入805.73万元、营业利润-183.77万元、净利润-220.83万元。安陆新能源报告期内净利润同比减少616.48万元，主要原因是售电均价及售电量同比下降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15）石首综合能源是以光伏发电为主的企业，装机容量8万千瓦，注册资本为11,961万元，本公司出资占其注册资本的100%。截至报告期末，石首综合能源资产总值为34,482.98万元，净资产12,847.06万元，报告期内完成发电量0.46亿千瓦时，实现营业收入941.62万元、营业利润-310.60万元、净利润-335.58万元。石首综合能源报告期内净利润同比减少503.82万元，主要原因是报告期售电均价同比降低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16）荆门新能源是以光伏发电为主的企业，注册资本为30,294.99万元，本公司出资占其注册资本的61.82%。截至报告期末，荆门新能源资产总值为96,741.90万元，净资产37,098.64万元，报告期内完成发电量1.38亿千瓦时，实现营业收入3,260.88万元、营业利润-354.29万元、净利润-425.68万元。荆门新能源报告期内净利润同比减少1,044.24万元，主要原因是售电均价及售电量同比下降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17）公安新能源是以光伏发电为主的企业，装机容量10万千瓦，注册资本为15,667万元，本公司出资占其注册资本的100%。截至报告期末，公安新能源资产总值为45,591.94万元，净资产17,000.77万元，报告期内完成发电量0.53亿千瓦时，实现营业收入1,280.56万元、营业利润-343.26万元、净利润-374.44万元。公安新能源报告期内净利润同比减少871.89万元，主要原因是售电均价及售电量同比下降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18）钟祥新能源是以光伏发电为主的企业，注册资本为678,690万元，本公司出资占其注册资本的65%。截至报告期末，钟祥新能源资产总值为154,264.32万元，净资产34,336.10万元，报告期内完成发电量1.95亿千瓦时，实现营业收入4,997.57万元、营业利润-675.53万元、净利润-723.27万元。钟祥新能源报告期内净利润同比减少1,041.96万元，主要原因是售电均价及售电量同比下降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19）随县新能源是以光伏发电为主的企业，注册资本为49,804万元，本公司出资占其注册资本的100%。截至报告期末，随县新能源资产总值241,788.88万元，净资产45,656.53万元。报告期内完成发电量2.67亿千瓦时，实现营业收入5,818.54万元、营业利润-1,493.25万元、净利润-1,316.97万元。随县新能源报告期内净利润同比减少2,929.00万元，主要原因是上年同期处于基建期，报告期资产折旧及财务费用等同比增加、电价同比降低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20）荆州新能源是以光伏发电为主的企业，注册资本为12,800万元，本公司出资占其注册资本的100%。截至报告期末，荆州新能源资产总值为48,509.18万元，净资产14,043.57万元。报告期内完成发电量0.53亿千瓦时，实现营业收入895.88万元、营业利润-628.68万元、净利润-626.66万元。荆州新能源报告期内净利润同比减少2,123.19万元，主要原因是上年同期处于基建期，报告期资产折旧及财务费用等同比增加、电价同比降低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21）巴东新能源是以光伏发电为主的企业，注册资本为10,010万元，本公司出资占其注册资本的100%。截至报告期末，巴东新能源资产总值为34,646.82万元，净资产10,857.21万元。报告期内完成发电量0.54亿千瓦时，实现营业收入1,067.23万元、营业利润17.61万元、净利润13.93万元。巴东新能源报告期内净利润同比减少267.70万元，主要原因是上年同期处于基建期，报告期资产折旧及财务费用等同比增加、电价同比降低所致。</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22）谷城新能源是以光伏发电为主的企业，注册资本为22,580万元，本公司出资占其注册资本的100%。截至报告期末，谷城新能源资产总值为75,550.37万元，净资产23,043.77万元。报告期内完成发电量0.75亿千瓦时，实现营业收入1,337.94万元、营业利润-23.96万元、净利润25.69万元。谷城新能源报告期内净利润同比减少362.26万元，主要原因是上年同期处于基建期，报告期资产折旧及财务费用等同比增加、电价同比降低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23）屈家岭新能源是以光伏发电为主的企业，注册资本为10,000万元，本公司出资占其注册资本的100%。截至报告期末，屈家岭新能源资产总值为32,834.91万元，净资产9,463.16万元。报告期内完成发电量0.47亿千瓦时，实现营业收入910.90万元、营业利润-37.50万元、净利润-91.78万元。屈家岭新能源报告期内净利润同比减少504.84万元，主要原因是售电均价及售电量同比下降所致。 </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24）潜江新能源是以光伏发电为主的企业，注册资本为19,300万元，本公司出资占其注册资本的100%。截至报告期末，潜江新能源资产总值为66,514.58万元，净资产20,291.63万元。报告期内完成发电量0.76亿千瓦时，实现营业收入903.39万元、营业利润-601.02万元、净利润-585.68万元。</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25）江陵新能源是湖北新能源的全资子公司，是以光伏发电为主的企业，注册资本为6,000万元。截至报告期末，江陵新能源资产总值为3,080.76万元，净资产2,559.15万元。报告期内实现营业收入109.99万元、营业利润106.77万元、净利润106.77万元。</w:t>
      </w:r>
    </w:p>
    <w:p>
      <w:pPr>
        <w:pStyle w:val="4"/>
        <w:keepNext w:val="0"/>
        <w:keepLines w:val="0"/>
        <w:widowControl/>
        <w:suppressLineNumbers w:val="0"/>
        <w:spacing w:line="320" w:lineRule="atLeast"/>
        <w:ind w:left="0" w:firstLine="482"/>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26）华工创投是以创业投资为主营业务的投资公司。注册资本为13,660万元，本公司出资3,196万元，占其注册资本的23.4%。截至报告期末，华工创投资产总值为77,884.83万元，净资产为67,866.75万元，报告期内实现营业收入2,867.44万元、营业利润134.97万元、净利润158.42万元。</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35" w:name="_Toc988927"/>
      <w:r>
        <w:rPr>
          <w:rFonts w:hint="default" w:ascii="Times New Roman" w:hAnsi="Times New Roman" w:eastAsia="宋体" w:cs="Times New Roman"/>
          <w:b/>
          <w:bCs/>
          <w:color w:val="auto"/>
          <w:sz w:val="24"/>
          <w:szCs w:val="24"/>
          <w:highlight w:val="none"/>
        </w:rPr>
        <w:t>九、公司控制的结构化主体情况</w:t>
      </w:r>
      <w:bookmarkEnd w:id="35"/>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36" w:name="_Toc988928"/>
      <w:r>
        <w:rPr>
          <w:rFonts w:hint="default" w:ascii="Times New Roman" w:hAnsi="Times New Roman" w:eastAsia="宋体" w:cs="Times New Roman"/>
          <w:b/>
          <w:bCs/>
          <w:color w:val="auto"/>
          <w:sz w:val="24"/>
          <w:szCs w:val="24"/>
          <w:highlight w:val="none"/>
        </w:rPr>
        <w:t>十、公司面临的风险和应对措施</w:t>
      </w:r>
      <w:bookmarkEnd w:id="36"/>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报告期内，根据公司所属能源保供行业的特点，公司在对2024年重大风险监控的基础上，结合国内外市场环境等形势变化因素，组织开展了2025年度重大风险评估工作，评估结果依次为：市场竞争风险</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合规风险、投资风险、采购管理风险、工程项目管理风险。</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.市场竞争风险</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由于市场政策调整、市场供需形势宽松、省内装机规模持续扩张，可能导致电力市场化交易价格下滑，进而影响公司的经营效益。下一步，公司将牢牢把握迎峰度夏机遇期，加强设备运行维护，保障机组安全稳定经济运行。建立协作联动机制，提高对电力市场走势的预判能力，为交易策略制定提供更有价值的参考。熟练掌握交易系统操作流程，认真核对电量、电价、交易时段等关键信息，着力防范交易操作风险。</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.合规风险</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作为上市公司，在关联交易管理、信息披露管理、内幕信息管理、法律纠纷与诉讼等方面可能存在一定的风险，公司面临的合规风险需要从多角度进行管控。公司将通过建立健全合规管理体系、加强内部培训和监督，审查重大关联交易事项、关联人基本信息，规范公司信息披露程序，跟踪管理法律诉讼全过程等措施，有效降低合规风险并维护公司稳定发展。</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3.投资风险</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受国家经济发展、能源供需和市场形势等方面的影响，投资项目可能出现项目设计方案、投资总额、预期收益、产品价格以及产品交易量变动等方面的风险。在项目前期可行性研究与论证中，资产投入运行后出现国家政策变化预估不足、市场形势发展变化较快等情况，从而导致项目投产预期收益率与项目前期可行性研究论证不符。下一步，公司将加强政策分析研究，充分论证评估，锁定边界条件，避免出现投资失误；加强与当地政府部门及电网公司沟通对接，获得环保、水保、接入系统批复文件，为项目建设创造良好的投资环境，保障项目实施的合规合法性；进一步优化建设方案，降低造价，抓好工程管理，确保工程安全、质量和进度，提高项目收益。</w:t>
      </w:r>
    </w:p>
    <w:p>
      <w:pPr>
        <w:pStyle w:val="4"/>
        <w:keepNext w:val="0"/>
        <w:keepLines w:val="0"/>
        <w:widowControl/>
        <w:suppressLineNumbers w:val="0"/>
        <w:spacing w:before="0" w:beforeAutospacing="0" w:after="0" w:afterAutospacing="0"/>
        <w:ind w:left="480" w:right="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4.采购管理风险</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采购人未归集合并同类采购计划，有规避招标的风险，增加企业采购成本。采购人采购文件或采购过程中存在以不合理条件限制、排斥潜在供应商行为，会引发供应商异议或投诉。采购人紧急采购未履行审批程序，紧急采购理由不充足，采购存在合规风险。采购人无正当理由不与中标人/成交供应商签订合同、订立背离投标文件/报价文件实质性内容的合同或订立背离合同实质性内容的其他协议，面临行政处罚。下一步，公司拟编制《招标采购合规风险预控指引》，对采购全过程、各环节的关键流程和要求进行细化。同时，组织召开季度采购结果审批情况梳理汇报会，对该季度采购结果审批情况开展监管；定期梳理未签订合同的情况，督导项目单位及时与中标人/成交供应商签订合同。</w:t>
      </w:r>
    </w:p>
    <w:p>
      <w:pPr>
        <w:pStyle w:val="4"/>
        <w:keepNext w:val="0"/>
        <w:keepLines w:val="0"/>
        <w:widowControl/>
        <w:suppressLineNumbers w:val="0"/>
        <w:spacing w:before="0" w:beforeAutospacing="0" w:after="0" w:afterAutospacing="0"/>
        <w:ind w:left="480" w:right="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5.工程项目管理风险 </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工程建设点多面广，施工环境复杂、管理人员短缺、施工人员流动性大，高风险作业多，造成安全管控风险大以及质量管控风险增大；新能源项目因土地交付滞后，影响工程全容量投产进度以及专项验收进度；汉川四期项目外送线路因规划路径造成进度滞后，影响双机按期投产目标；部分项目工程结算金额有争议引起诉讼，造成结算不及时等情况。下一步，一是建立健全安全管理体系，落实各级安全管理责任，执行安全双重预防机制，加强承包商管理，强化高风险作业安全管控、做好应急防范措施，有效预防安全风险。二是按照精细化管理、洁净化施工管理要求，做好设备监造和验收，加强质量全过程管控，确保工程建设质量控制在控。三是外送线路方面要积极对接政府，解决影响外送线路路径的卡口、堵点，尽快取得建设核准文件，确保线路早日开工建设，实现与主体工程同步投产；新能源方面土地交付滞后要积极主动做好与政府沟通交流，寻求土地资源加快落实项目缺口用地。明确机组启动调试工作中各相关单位的任务和职责范围，提高调试工作水平。加强汉川四期项目送出工程的协调力度，组织好现场资源配置，确保节点计划按期完成。</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37" w:name="_Toc988929"/>
      <w:r>
        <w:rPr>
          <w:rFonts w:hint="default" w:ascii="Times New Roman" w:hAnsi="Times New Roman" w:eastAsia="宋体" w:cs="Times New Roman"/>
          <w:b/>
          <w:bCs/>
          <w:color w:val="auto"/>
          <w:sz w:val="24"/>
          <w:szCs w:val="24"/>
          <w:highlight w:val="none"/>
        </w:rPr>
        <w:t>十一、市值管理制度和估值提升计划的制定落实情况</w:t>
      </w:r>
      <w:bookmarkEnd w:id="37"/>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公司是否制定了市值管理制度。</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是 □否</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公司是否披露了估值提升计划。</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p>
      <w:pPr>
        <w:pStyle w:val="4"/>
        <w:keepNext w:val="0"/>
        <w:keepLines w:val="0"/>
        <w:widowControl/>
        <w:suppressLineNumbers w:val="0"/>
        <w:spacing w:before="0" w:beforeAutospacing="0" w:after="0" w:afterAutospacing="0"/>
        <w:ind w:right="0"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公司积极响应证监会和国资委有关上市公司市值管理的工作部署，为进一步加强公司市值管理工作，规范公司市值管理行为，增强投资者回报，切实保护公司股东特别是中小股东的合法权益，提升公司投资价值，根据《中华人民共和国公司法》《中华人民共和国证券法》《国务院关于加强监管防范风险推动资本市场高质量发展的若干意见》《国务院国资委关于改进和加强中央企业控股上市公司市值管理工作的若干意见》《上市公司监管指引第10号——市值管理》《深圳证券交易所股票上市规则》等法律法规及《国家能源集团长源电力股份有限公司公司章程》的规定，结合公司实际情况，公司制定了《国家能源集团长源电力股份有限公司市值管理制度》（以下简称《市值管理制度》）。《市值管理制度》围绕公司市值管理工作原则、组织与职责、市值管理主要方式、监测机制及应对措施、管理与监督等方面制定了市值管理的相关要求及工作措施。《市值管理制度》经公司第十届董事会第三十五次会议审议通过，具体内容详见公司于2025年8月23日在巨潮资讯网上披露的《国家能源集团长源电力股份有限公司市值管理制度》。</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w:t>
      </w:r>
    </w:p>
    <w:p>
      <w:pPr>
        <w:pStyle w:val="4"/>
        <w:keepNext w:val="0"/>
        <w:keepLines w:val="0"/>
        <w:widowControl/>
        <w:suppressLineNumbers w:val="0"/>
        <w:spacing w:before="0" w:beforeAutospacing="0" w:after="0" w:afterAutospacing="0"/>
        <w:ind w:left="0" w:right="0"/>
        <w:jc w:val="both"/>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1"/>
          <w:szCs w:val="21"/>
          <w:highlight w:val="none"/>
        </w:rPr>
        <w:t> </w:t>
      </w:r>
      <w:bookmarkStart w:id="38" w:name="_Toc988930"/>
      <w:r>
        <w:rPr>
          <w:rFonts w:hint="default" w:ascii="Times New Roman" w:hAnsi="Times New Roman" w:eastAsia="宋体" w:cs="Times New Roman"/>
          <w:b/>
          <w:bCs/>
          <w:color w:val="auto"/>
          <w:sz w:val="24"/>
          <w:szCs w:val="24"/>
          <w:highlight w:val="none"/>
        </w:rPr>
        <w:t>十二、“质量回报双提升”行动方案贯彻落实情况</w:t>
      </w:r>
      <w:bookmarkEnd w:id="38"/>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公司是否披露了“质量回报双提升”行动方案公告。</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是 □否</w:t>
      </w:r>
    </w:p>
    <w:p>
      <w:pPr>
        <w:pStyle w:val="4"/>
        <w:keepNext w:val="0"/>
        <w:keepLines w:val="0"/>
        <w:widowControl/>
        <w:suppressLineNumbers w:val="0"/>
        <w:spacing w:line="360" w:lineRule="atLeast"/>
        <w:ind w:left="0" w:firstLine="480"/>
        <w:jc w:val="left"/>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vertAlign w:val="baseline"/>
        </w:rPr>
        <w:t>2025年3月12日，公司召开第十届董事会第三十一次会议，审议通过了《关于“质量回报双提升”行动方案的议案》，并于3月14日披露了该行动方案。报告期内，公司积极围绕“聚焦主责主业，高质量发展取得积极进展</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rPr>
        <w:t>强化资本运营，助力绿色低碳转型发展</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rPr>
        <w:t>强化公司治理，提升规范运作水平</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rPr>
        <w:t>提升信息披露质量，强化投资者关系管理</w:t>
      </w:r>
      <w:r>
        <w:rPr>
          <w:rFonts w:hint="default" w:ascii="Times New Roman" w:hAnsi="Times New Roman" w:cs="Times New Roman"/>
          <w:color w:val="auto"/>
          <w:sz w:val="24"/>
          <w:szCs w:val="24"/>
          <w:highlight w:val="none"/>
          <w:vertAlign w:val="baseline"/>
          <w:lang w:eastAsia="zh-CN"/>
        </w:rPr>
        <w:t>；</w:t>
      </w:r>
      <w:r>
        <w:rPr>
          <w:rFonts w:hint="default" w:ascii="Times New Roman" w:hAnsi="Times New Roman" w:eastAsia="宋体" w:cs="Times New Roman"/>
          <w:color w:val="auto"/>
          <w:sz w:val="24"/>
          <w:szCs w:val="24"/>
          <w:highlight w:val="none"/>
          <w:vertAlign w:val="baseline"/>
        </w:rPr>
        <w:t>持续开展现金分红，与投资者共享发展成果”等方面推进“质量回报双提升”行动方案的相关工作举措，牢固树立以投资者为本的理念和积极回报股东的意识，聚焦主责主业，强化公司治理和规范运作，不断提高上市公司质量和投资价值，将“质量回报双提升”行动方案落实到位，为增强市场信心、促进资本市场稳健发展贡献力量。</w:t>
      </w: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sectPr>
          <w:headerReference r:id="rId3" w:type="default"/>
          <w:footerReference r:id="rId4" w:type="default"/>
          <w:pgSz w:w="11905" w:h="16840"/>
          <w:pgMar w:top="1440" w:right="1134" w:bottom="1440" w:left="1134" w:header="850" w:footer="992" w:gutter="0"/>
          <w:cols w:space="720" w:num="1"/>
          <w:docGrid w:type="linesAndChars" w:linePitch="312" w:charSpace="0"/>
        </w:sectPr>
      </w:pPr>
      <w:bookmarkStart w:id="39" w:name="_Toc988931"/>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第四节 公司治理、环境和社会</w:t>
      </w:r>
      <w:bookmarkEnd w:id="39"/>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0" w:name="_Toc988932"/>
      <w:r>
        <w:rPr>
          <w:rFonts w:hint="default" w:ascii="Times New Roman" w:hAnsi="Times New Roman" w:eastAsia="宋体" w:cs="Times New Roman"/>
          <w:b/>
          <w:bCs/>
          <w:color w:val="auto"/>
          <w:sz w:val="24"/>
          <w:szCs w:val="24"/>
          <w:highlight w:val="none"/>
        </w:rPr>
        <w:t>一、公司董事、监事、高级管理人员变动情况</w:t>
      </w:r>
      <w:bookmarkEnd w:id="40"/>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52"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姓名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担任的职务</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日期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6"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李海滨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副董事长</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lang w:val="en-US" w:eastAsia="zh-CN"/>
              </w:rPr>
              <w:t>董事</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离任</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2025年04月21日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工作调动</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1" w:name="_Toc988933"/>
      <w:r>
        <w:rPr>
          <w:rFonts w:hint="default" w:ascii="Times New Roman" w:hAnsi="Times New Roman" w:eastAsia="宋体" w:cs="Times New Roman"/>
          <w:b/>
          <w:bCs/>
          <w:color w:val="auto"/>
          <w:sz w:val="24"/>
          <w:szCs w:val="24"/>
          <w:highlight w:val="none"/>
        </w:rPr>
        <w:t>二、本报告期利润分配及资本公积金转增股本情况</w:t>
      </w:r>
      <w:bookmarkEnd w:id="41"/>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公司计划半年度不派发现金红利，不送红股，不以公积金转增股本。</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2" w:name="_Toc988934"/>
      <w:r>
        <w:rPr>
          <w:rFonts w:hint="default" w:ascii="Times New Roman" w:hAnsi="Times New Roman" w:eastAsia="宋体" w:cs="Times New Roman"/>
          <w:b/>
          <w:bCs/>
          <w:color w:val="auto"/>
          <w:sz w:val="24"/>
          <w:szCs w:val="24"/>
          <w:highlight w:val="none"/>
        </w:rPr>
        <w:t>三、公司股权激励计划、员工持股计划或其他员工激励措施的实施情况</w:t>
      </w:r>
      <w:bookmarkEnd w:id="42"/>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公司报告期无股权激励计划、员工持股计划或其他员工激励措施及其实施情况。</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3" w:name="_Toc988935"/>
      <w:r>
        <w:rPr>
          <w:rFonts w:hint="default" w:ascii="Times New Roman" w:hAnsi="Times New Roman" w:eastAsia="宋体" w:cs="Times New Roman"/>
          <w:b/>
          <w:bCs/>
          <w:color w:val="auto"/>
          <w:sz w:val="24"/>
          <w:szCs w:val="24"/>
          <w:highlight w:val="none"/>
        </w:rPr>
        <w:t>四、环境信息披露情况</w:t>
      </w:r>
      <w:bookmarkEnd w:id="43"/>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上市公司及其主要子公司是否纳入环境信息依法披露企业名单</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是 □否</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506"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序号</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环境信息依法披露报告的查询索引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企业环境信息依法披露系统（湖北）</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http://219.140.164.18:8007/hbyfpl/frontal/index.html#/home/index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汉川一发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企业环境信息依法披露系统（湖北）</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http://219.140.164.18:8007/hbyfpl/frontal/index.html#/home/index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企业环境信息依法披露系统（湖北）</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http://219.140.164.18:8007/hbyfpl/frontal/index.html#/home/index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荆门公司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企业环境信息依法披露系统（湖北）</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http://219.140.164.18:8007/hbyfpl/frontal/index.html#/home/index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荆州公司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企业环境信息依法披露系统（湖北）</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http://219.140.164.18:8007/hbyfpl/frontal/index.html#/home/index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青山公司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企业环境信息依法披露系统（湖北）</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http://219.140.164.18:8007/hbyfpl/frontal/index.html#/home/index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长源一发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企业环境信息依法披露系统（湖北）</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http://219.140.164.18:8007/hbyfpl/frontal/index.html#/home/index</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公司需遵守《深圳证券交易所上市公司自律监管指引第3号——行业信息披露》中的“电力供应业”的披露要求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固体废物污染环境防治法》的出台对于防治固体废物污染环境、保障人体健康、维护生态安全、促进经济社会可持续发展提出了更高的要求，公司所属单位严格遵守该法律法规，加强固废、危废管理。《燃煤发电机组单位产品能源消耗限额》（GB21258-2024）（以下简称目录）已于2025年4月1日起实施，对于燃煤发电机组单位产品能耗限额提出了具体要求，公司所属煤电机组供电煤耗均满足限额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公司高度重视节能减排和生态环保工作，报告期内，公司火电机组供电煤耗完成292.56克/千瓦时，区域对标先进。公司所属火电企业严格落实排污许可相关规定，自证守法、按证排污。所属7家火电企业均配备废水处理设施，厂区废水经处理实现循环利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上市公司发生环境事故的相关情况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30" w:lineRule="atLeast"/>
        <w:ind w:left="0" w:right="0" w:firstLine="48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报告期内，公司未发生环境事故。</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4" w:name="_Toc988936"/>
      <w:r>
        <w:rPr>
          <w:rFonts w:hint="default" w:ascii="Times New Roman" w:hAnsi="Times New Roman" w:eastAsia="宋体" w:cs="Times New Roman"/>
          <w:b/>
          <w:bCs/>
          <w:color w:val="auto"/>
          <w:sz w:val="24"/>
          <w:szCs w:val="24"/>
          <w:highlight w:val="none"/>
        </w:rPr>
        <w:t>五、社会责任情况</w:t>
      </w:r>
      <w:bookmarkEnd w:id="44"/>
    </w:p>
    <w:p>
      <w:pPr>
        <w:pStyle w:val="4"/>
        <w:keepNext w:val="0"/>
        <w:keepLines w:val="0"/>
        <w:widowControl/>
        <w:suppressLineNumbers w:val="0"/>
        <w:spacing w:before="0" w:beforeAutospacing="0" w:after="0" w:afterAutospacing="0" w:line="380" w:lineRule="atLeast"/>
        <w:ind w:left="0" w:right="0" w:firstLine="641"/>
        <w:jc w:val="both"/>
        <w:rPr>
          <w:rFonts w:hint="default" w:ascii="Times New Roman" w:hAnsi="Times New Roman" w:cs="Times New Roman"/>
          <w:color w:val="auto"/>
          <w:sz w:val="24"/>
          <w:szCs w:val="24"/>
          <w:highlight w:val="none"/>
        </w:rPr>
      </w:pPr>
      <w:r>
        <w:rPr>
          <w:rFonts w:hint="default" w:ascii="Times New Roman" w:hAnsi="Times New Roman" w:eastAsia="黑体" w:cs="Times New Roman"/>
          <w:b w:val="0"/>
          <w:bCs w:val="0"/>
          <w:color w:val="auto"/>
          <w:sz w:val="24"/>
          <w:szCs w:val="24"/>
          <w:highlight w:val="none"/>
        </w:rPr>
        <w:t>一、总体情况</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公司坚持以习近平新时代中国特色社会主义思想为指导，积极响应国家战略，将社会责任融入企业发展，2025年重点围绕乡村振兴、志愿服务、工业遗产保护三大领域展开实践，通过产业帮扶、公益行动和文化传承，助力可持续发展，推动社会价值共创。</w:t>
      </w:r>
    </w:p>
    <w:p>
      <w:pPr>
        <w:pStyle w:val="4"/>
        <w:keepNext w:val="0"/>
        <w:keepLines w:val="0"/>
        <w:widowControl/>
        <w:suppressLineNumbers w:val="0"/>
        <w:spacing w:before="0" w:beforeAutospacing="0" w:after="0" w:afterAutospacing="0" w:line="380" w:lineRule="atLeast"/>
        <w:ind w:left="0" w:right="0" w:firstLine="641"/>
        <w:jc w:val="both"/>
        <w:rPr>
          <w:rFonts w:hint="default" w:ascii="Times New Roman" w:hAnsi="Times New Roman" w:cs="Times New Roman"/>
          <w:color w:val="auto"/>
          <w:sz w:val="24"/>
          <w:szCs w:val="24"/>
          <w:highlight w:val="none"/>
        </w:rPr>
      </w:pPr>
      <w:r>
        <w:rPr>
          <w:rFonts w:hint="default" w:ascii="Times New Roman" w:hAnsi="Times New Roman" w:eastAsia="黑体" w:cs="Times New Roman"/>
          <w:b w:val="0"/>
          <w:bCs w:val="0"/>
          <w:color w:val="auto"/>
          <w:sz w:val="24"/>
          <w:szCs w:val="24"/>
          <w:highlight w:val="none"/>
        </w:rPr>
        <w:t>二、社会责任工作摘要</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一是持续开展产业赋能。公司乡村振兴驻村工作队随镇招商专班赴襄阳市宜城市开展招商引资工作，积极促成</w:t>
      </w:r>
      <w:r>
        <w:rPr>
          <w:rFonts w:hint="default" w:ascii="Times New Roman" w:hAnsi="Times New Roman"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rPr>
        <w:t>公司来村投资兴业，签订投资兴建农副产品加工厂合作协议，预计投产运行后可使村集体经济增收10余万元，解决60人就近劳务就业，增加村民家庭收入，促进村集体创收创效，稳定村集体经济健康持续发展。</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二是持续开展知识宣讲。公司驻村工作队协同村“两委”开展一氧化碳安全知识宣讲和森林防火、文明祭扫等政策宣传活动，通过入户检查、发放宣传单、张贴宣传画、微信群信息推送、村内广播站等多种形式开展工作，有效防止了一氧化碳中毒和森林火灾事故的发生。</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三是加强工业遗产保护利用。倾力打造青山公司电力文化展示新阵地，高质量完成青山电厂国家工业遗产展馆建设，丰富区域红色教育资源，为企业高质量发展注入“红色力量”，深化“党建引领”工作的深度开展，助力企业高质量发展。通过对恩施水电老虎洞电站工业遗产的保护及红色资源开发利用，将其打造为“工业遗产”+“红色教育基地”+“新时代文明传承中心”三合一基地。</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四是积极开展志愿服务活动。擦亮“长源电力蒲公英”志愿服务品牌，在“中国好人”严昌筠的带领下，将志愿服务与乡村振兴工作结合，开展“星星关爱 温暖相伴”志愿服务活动，推动“国能科普”“女生加油计划”“蓝信封计划”三个子品牌进校园，相关报道在荆楚网</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今日湖北网、湖北知学网等省级媒体平台发布，展现了公司在地方的良好形象，公司志愿服务队被授予湖北省“本禹志愿服务队”。</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五是积极开展消费帮扶活动。公司与蕲春县吴檀塝村进行结对帮扶，助力乡村振兴工作，上半年采购销售农产品25万元，积极参与“央企消费帮扶迎春行动”等活动，购买832个全国级脱贫县农特产品及服务，共计150余万元。</w:t>
      </w:r>
    </w:p>
    <w:p>
      <w:pPr>
        <w:pStyle w:val="4"/>
        <w:keepNext w:val="0"/>
        <w:keepLines w:val="0"/>
        <w:widowControl/>
        <w:suppressLineNumbers w:val="0"/>
        <w:spacing w:before="0" w:beforeAutospacing="0" w:after="0" w:afterAutospacing="0" w:line="380" w:lineRule="atLeast"/>
        <w:ind w:left="0" w:right="0" w:firstLine="641"/>
        <w:jc w:val="both"/>
        <w:rPr>
          <w:rFonts w:hint="default" w:ascii="Times New Roman" w:hAnsi="Times New Roman" w:cs="Times New Roman"/>
          <w:color w:val="auto"/>
          <w:sz w:val="24"/>
          <w:szCs w:val="24"/>
          <w:highlight w:val="none"/>
        </w:rPr>
      </w:pPr>
      <w:r>
        <w:rPr>
          <w:rFonts w:hint="default" w:ascii="Times New Roman" w:hAnsi="Times New Roman" w:eastAsia="黑体" w:cs="Times New Roman"/>
          <w:b w:val="0"/>
          <w:bCs w:val="0"/>
          <w:color w:val="auto"/>
          <w:sz w:val="24"/>
          <w:szCs w:val="24"/>
          <w:highlight w:val="none"/>
        </w:rPr>
        <w:t>三、后续工作计划</w:t>
      </w:r>
    </w:p>
    <w:p>
      <w:pPr>
        <w:pStyle w:val="4"/>
        <w:keepNext w:val="0"/>
        <w:keepLines w:val="0"/>
        <w:widowControl/>
        <w:suppressLineNumbers w:val="0"/>
        <w:spacing w:before="0" w:beforeAutospacing="0" w:after="0" w:afterAutospacing="0"/>
        <w:ind w:left="0" w:right="0" w:firstLine="641"/>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下一步，公司将深入贯彻落实党中央关于巩固拓展脱贫攻坚成果同乡村振兴有效衔接和关于建设文化强国、推进新型工业化的战略部署，充分发挥能源电力企业自身资源优势，加大乡村振兴和电力工业遗产保护利用力度。</w:t>
      </w:r>
    </w:p>
    <w:p>
      <w:pPr>
        <w:pStyle w:val="4"/>
        <w:keepNext w:val="0"/>
        <w:keepLines w:val="0"/>
        <w:widowControl/>
        <w:suppressLineNumbers w:val="0"/>
        <w:spacing w:before="0" w:beforeAutospacing="0" w:after="0" w:afterAutospacing="0"/>
        <w:ind w:left="0" w:right="0" w:firstLine="641"/>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一是继续实施消费帮扶。充分发挥企业优势，继续采取“以购代捐”、“以买代帮”、爱心消费、助农兴农等方式，购买驻点村农副产品，稳定农产品销售渠道力争完成帮扶购销农副产品100万元。</w:t>
      </w:r>
    </w:p>
    <w:p>
      <w:pPr>
        <w:pStyle w:val="4"/>
        <w:keepNext w:val="0"/>
        <w:keepLines w:val="0"/>
        <w:widowControl/>
        <w:suppressLineNumbers w:val="0"/>
        <w:spacing w:before="0" w:beforeAutospacing="0" w:after="0" w:afterAutospacing="0"/>
        <w:ind w:left="0" w:right="0" w:firstLine="641"/>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二是继续开展产业帮扶。充分利用公司年度帮扶资金40万元及配套资金10万元，组织实施完成“新建水果蔬菜大棚基地”，把绿色健康食品产业建设成为村集体的支柱产业，扩大村集体收入，推进村集体经济发展。</w:t>
      </w:r>
    </w:p>
    <w:p>
      <w:pPr>
        <w:pStyle w:val="4"/>
        <w:keepNext w:val="0"/>
        <w:keepLines w:val="0"/>
        <w:widowControl/>
        <w:suppressLineNumbers w:val="0"/>
        <w:spacing w:before="0" w:beforeAutospacing="0" w:after="0" w:afterAutospacing="0"/>
        <w:ind w:left="0" w:right="0" w:firstLine="641"/>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三是深入挖掘工业文化深厚底蕴，坚持“总体规划、分步实施，保护为先、兼顾利用，传承文化、讲好故事，加快推进、见效示范”三十二字原则，持续推进公司工业遗产保护活化利用工作。</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bookmarkStart w:id="45" w:name="_Toc988937"/>
      <w:r>
        <w:rPr>
          <w:rFonts w:hint="default" w:ascii="Times New Roman" w:hAnsi="Times New Roman" w:eastAsia="宋体" w:cs="Times New Roman"/>
          <w:b/>
          <w:bCs/>
          <w:color w:val="auto"/>
          <w:sz w:val="32"/>
          <w:szCs w:val="32"/>
          <w:highlight w:val="none"/>
        </w:rPr>
        <w:t>第五节 重要事项</w:t>
      </w:r>
      <w:bookmarkEnd w:id="45"/>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6" w:name="_Toc988938"/>
      <w:r>
        <w:rPr>
          <w:rFonts w:hint="default" w:ascii="Times New Roman" w:hAnsi="Times New Roman" w:eastAsia="宋体" w:cs="Times New Roman"/>
          <w:b/>
          <w:bCs/>
          <w:color w:val="auto"/>
          <w:sz w:val="24"/>
          <w:szCs w:val="24"/>
          <w:highlight w:val="none"/>
        </w:rPr>
        <w:t>一、公司实际控制人、股东、关联方、收购人以及公司等承诺相关方在报告期内履行完毕及截至报告期末超期未履行完毕的承诺事项</w:t>
      </w:r>
      <w:bookmarkEnd w:id="46"/>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承诺事由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承诺内容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承诺期限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资产重组时所作承诺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控股股东暨交易对方国家能源集团</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关于标的资产瑕疵资产办证情况的承诺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标的公司合法拥有保证其正常经营所需的土地、房产、设备、知识产权等资产的所有权及/或使用权，主要资产权属清晰，不存在产权纠纷；2.若因相关土地、房产未取得权属证书等事由导致湖北电力及其控股子公司遭受任何损失，包括但不限于被有关有权机关认定为违反相关法律规定而进行罚款，或要求对相关房产进行拆除、搬迁、重建以及承担其他任何形式的法律责任，将在长源电力依法确定该等事项造成的实际损失后3个月内，按照本次交易该等瑕疵土地、房产的评估价值，由本集团向长源电力进行现金补偿。上述承诺自湖北电力上述土地、房产权属证书取得之日起自动终止。</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rPr>
              <w:t>2020年11月17日</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长期有效</w:t>
            </w:r>
          </w:p>
        </w:tc>
        <w:tc>
          <w:tcPr>
            <w:tcW w:w="1377" w:type="dxa"/>
            <w:tcBorders>
              <w:top w:val="single" w:color="auto" w:sz="2" w:space="0"/>
              <w:left w:val="single" w:color="auto" w:sz="2" w:space="0"/>
              <w:bottom w:val="single" w:color="auto" w:sz="2" w:space="0"/>
              <w:right w:val="single" w:color="auto" w:sz="2" w:space="0"/>
            </w:tcBorders>
            <w:vAlign w:val="center"/>
          </w:tcPr>
          <w:p>
            <w:pPr>
              <w:spacing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正常履行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资产重组时所作承诺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不从事涉房业务的承诺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公司及所属的全资、控股子公司后续不会再续期或者重新办理房地产开发资质，现在以及将来均不会开展房地产的开发和销售业务。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2021年02月27日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长期有效</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正常履行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承诺是否按时履行</w:t>
            </w:r>
          </w:p>
        </w:tc>
        <w:tc>
          <w:tcPr>
            <w:tcW w:w="8262" w:type="dxa"/>
            <w:gridSpan w:val="6"/>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7" w:name="_Toc988939"/>
      <w:r>
        <w:rPr>
          <w:rFonts w:hint="default" w:ascii="Times New Roman" w:hAnsi="Times New Roman" w:eastAsia="宋体" w:cs="Times New Roman"/>
          <w:b/>
          <w:bCs/>
          <w:color w:val="auto"/>
          <w:sz w:val="24"/>
          <w:szCs w:val="24"/>
          <w:highlight w:val="none"/>
        </w:rPr>
        <w:t>二、控股股东及其他关联方对上市公司的非经营性占用资金情况</w:t>
      </w:r>
      <w:bookmarkEnd w:id="47"/>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公司报告期不存在控股股东及其他关联方对上市公司的非经营性占用资金。</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8" w:name="_Toc988940"/>
      <w:r>
        <w:rPr>
          <w:rFonts w:hint="default" w:ascii="Times New Roman" w:hAnsi="Times New Roman" w:eastAsia="宋体" w:cs="Times New Roman"/>
          <w:b/>
          <w:bCs/>
          <w:color w:val="auto"/>
          <w:sz w:val="24"/>
          <w:szCs w:val="24"/>
          <w:highlight w:val="none"/>
        </w:rPr>
        <w:t>三、违规对外担保情况</w:t>
      </w:r>
      <w:bookmarkEnd w:id="48"/>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公司报告期无违规对外担保情况。</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49" w:name="_Toc988941"/>
      <w:r>
        <w:rPr>
          <w:rFonts w:hint="default" w:ascii="Times New Roman" w:hAnsi="Times New Roman" w:eastAsia="宋体" w:cs="Times New Roman"/>
          <w:b/>
          <w:bCs/>
          <w:color w:val="auto"/>
          <w:sz w:val="24"/>
          <w:szCs w:val="24"/>
          <w:highlight w:val="none"/>
        </w:rPr>
        <w:t>四、聘任、解聘会计师事务所情况</w:t>
      </w:r>
      <w:bookmarkEnd w:id="49"/>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半年度财务报告是否已经审计</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公司半年度报告未经审计。</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50" w:name="_Toc988942"/>
      <w:r>
        <w:rPr>
          <w:rFonts w:hint="default" w:ascii="Times New Roman" w:hAnsi="Times New Roman" w:eastAsia="宋体" w:cs="Times New Roman"/>
          <w:b/>
          <w:bCs/>
          <w:color w:val="auto"/>
          <w:sz w:val="24"/>
          <w:szCs w:val="24"/>
          <w:highlight w:val="none"/>
        </w:rPr>
        <w:t>五、董事会、监事会对会计师事务所本报告期“非标准审计报告”的说明</w:t>
      </w:r>
      <w:bookmarkEnd w:id="50"/>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51" w:name="_Toc988943"/>
      <w:r>
        <w:rPr>
          <w:rFonts w:hint="default" w:ascii="Times New Roman" w:hAnsi="Times New Roman" w:eastAsia="宋体" w:cs="Times New Roman"/>
          <w:b/>
          <w:bCs/>
          <w:color w:val="auto"/>
          <w:sz w:val="24"/>
          <w:szCs w:val="24"/>
          <w:highlight w:val="none"/>
        </w:rPr>
        <w:t>六、董事会对上年度“非标准审计报告”相关情况的说明</w:t>
      </w:r>
      <w:bookmarkEnd w:id="51"/>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52" w:name="_Toc988944"/>
      <w:r>
        <w:rPr>
          <w:rFonts w:hint="default" w:ascii="Times New Roman" w:hAnsi="Times New Roman" w:eastAsia="宋体" w:cs="Times New Roman"/>
          <w:b/>
          <w:bCs/>
          <w:color w:val="auto"/>
          <w:sz w:val="24"/>
          <w:szCs w:val="24"/>
          <w:highlight w:val="none"/>
        </w:rPr>
        <w:t>七、破产重整相关事项</w:t>
      </w:r>
      <w:bookmarkEnd w:id="52"/>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公司报告期未发生破产重整相关事项。</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53" w:name="_Toc988945"/>
      <w:r>
        <w:rPr>
          <w:rFonts w:hint="default" w:ascii="Times New Roman" w:hAnsi="Times New Roman" w:eastAsia="宋体" w:cs="Times New Roman"/>
          <w:b/>
          <w:bCs/>
          <w:color w:val="auto"/>
          <w:sz w:val="24"/>
          <w:szCs w:val="24"/>
          <w:highlight w:val="none"/>
        </w:rPr>
        <w:t>八、诉讼事项</w:t>
      </w:r>
      <w:bookmarkEnd w:id="53"/>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重大诉讼仲裁事项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本报告期公司无重大诉讼、仲裁事项。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其他诉讼事项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54" w:name="_Toc988946"/>
      <w:r>
        <w:rPr>
          <w:rFonts w:hint="default" w:ascii="Times New Roman" w:hAnsi="Times New Roman" w:eastAsia="宋体" w:cs="Times New Roman"/>
          <w:b/>
          <w:bCs/>
          <w:color w:val="auto"/>
          <w:sz w:val="24"/>
          <w:szCs w:val="24"/>
          <w:highlight w:val="none"/>
        </w:rPr>
        <w:t>九、处罚及整改情况</w:t>
      </w:r>
      <w:bookmarkEnd w:id="54"/>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公司报告期不存在处罚及整改情况。</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55" w:name="_Toc988947"/>
      <w:r>
        <w:rPr>
          <w:rFonts w:hint="default" w:ascii="Times New Roman" w:hAnsi="Times New Roman" w:eastAsia="宋体" w:cs="Times New Roman"/>
          <w:b/>
          <w:bCs/>
          <w:color w:val="auto"/>
          <w:sz w:val="24"/>
          <w:szCs w:val="24"/>
          <w:highlight w:val="none"/>
        </w:rPr>
        <w:t>十、公司及其控股股东、实际控制人的诚信状况</w:t>
      </w:r>
      <w:bookmarkEnd w:id="55"/>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56" w:name="_Toc988948"/>
      <w:r>
        <w:rPr>
          <w:rFonts w:hint="default" w:ascii="Times New Roman" w:hAnsi="Times New Roman" w:eastAsia="宋体" w:cs="Times New Roman"/>
          <w:b/>
          <w:bCs/>
          <w:color w:val="auto"/>
          <w:sz w:val="24"/>
          <w:szCs w:val="24"/>
          <w:highlight w:val="none"/>
        </w:rPr>
        <w:t>十一、重大关联交易</w:t>
      </w:r>
      <w:bookmarkEnd w:id="56"/>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57" w:name="_Toc988949"/>
      <w:r>
        <w:rPr>
          <w:rFonts w:hint="default" w:ascii="Times New Roman" w:hAnsi="Times New Roman" w:eastAsia="宋体" w:cs="Times New Roman"/>
          <w:b/>
          <w:bCs/>
          <w:color w:val="auto"/>
          <w:sz w:val="21"/>
          <w:szCs w:val="21"/>
          <w:highlight w:val="none"/>
        </w:rPr>
        <w:t>1、与日常经营相关的关联交易</w:t>
      </w:r>
      <w:bookmarkEnd w:id="57"/>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关联关系</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关联交易类型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关联交易内容</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关联交易定价原则</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关联交易价格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关联交易金额（万元）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占同类交易金额的比例</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获批的交易额度（万元）</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是否超过获批额度</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关联交易结算方式</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可获得的同类交易市价</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披露日期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披露索引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采购物资</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采购物资</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公开招标及市场定价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光伏组件0.64元/Wp</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10,879</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23.26%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36,400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光伏组件0.68元/Wp</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582.3元/吨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257,865</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64.11%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883,690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640.2元/吨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国家能源集团（国能煤炭）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697.8元/吨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37,035</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9.21%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142,100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725元/吨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新疆能源</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721元/吨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6,080</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1.51%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15,750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725元/吨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神华运销</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859.9元/吨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2,477</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0.62%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870元/吨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国能航运</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煤炭运输服务费23.9元/吨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7,488</w:t>
            </w:r>
          </w:p>
        </w:tc>
        <w:tc>
          <w:tcPr>
            <w:tcW w:w="68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1.86%</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29,990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煤炭运输服务费24.2元/吨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龙源博奇</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销售商品</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销售水电热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电价0.3715元/千瓦时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3,412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电价0.3715元/千瓦时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武汉燃料</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燃料服务费</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协商定价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煤炭接卸服务费</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电科院</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技术服务</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协商定价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1.2元/千瓦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技术服务</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协商定价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系统集成费=软硬件设备购置费×系统集成费费率（5%-15%）</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国家能源集团下属其他单位</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市场定价或协商定价</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采样机性能试验10万元/台</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1,162</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10.21%</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2,600</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转账票据</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采样机性能试验10万元/台</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巨潮资讯网公告2025-011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326,710</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1,166,280</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大额销货退回的详细情况</w:t>
            </w:r>
          </w:p>
        </w:tc>
        <w:tc>
          <w:tcPr>
            <w:tcW w:w="6885"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按类别对本期将发生的日常关联交易进行总金额预计的，在报告期内的实际履行情况（如有）</w:t>
            </w:r>
          </w:p>
        </w:tc>
        <w:tc>
          <w:tcPr>
            <w:tcW w:w="6885"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发生的日常关联交易总金额未超过年度预计数。采购燃料实际发生金额与年预计额进度差异较大，一是由于实际电煤需求与年度计划进度存在一定差异；二是受煤炭市场影响，公司实际采购价格低于年初预计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交易价格与市场参考价格差异较大的原因（如适用）</w:t>
            </w:r>
          </w:p>
        </w:tc>
        <w:tc>
          <w:tcPr>
            <w:tcW w:w="6885" w:type="dxa"/>
            <w:gridSpan w:val="10"/>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公司燃煤采购类型包括长协采购与市场现货采购，且主要以长协采购为主。其中，长协煤炭价格根据国家相关政策与长协供应商协商制定，现货采购价格通过在平台公开询比价确定。国能销售、国能煤炭、新疆煤炭、神华运销等作为公司长协煤炭的主要供应商，资源组织及供应保障能力强，</w:t>
            </w:r>
            <w:r>
              <w:rPr>
                <w:rFonts w:hint="default" w:ascii="Times New Roman" w:hAnsi="Times New Roman" w:cs="Times New Roman"/>
                <w:color w:val="auto"/>
                <w:sz w:val="18"/>
                <w:szCs w:val="18"/>
                <w:highlight w:val="none"/>
                <w:lang w:val="en-US" w:eastAsia="zh-CN"/>
              </w:rPr>
              <w:t>煤源稳定，煤质环保、运力可靠，能快速响应公司电煤需求变化，是公司电煤保供的核心支撑</w:t>
            </w:r>
            <w:r>
              <w:rPr>
                <w:rFonts w:hint="default" w:ascii="Times New Roman" w:hAnsi="Times New Roman" w:eastAsia="宋体" w:cs="Times New Roman"/>
                <w:color w:val="auto"/>
                <w:sz w:val="18"/>
                <w:szCs w:val="18"/>
                <w:highlight w:val="none"/>
              </w:rPr>
              <w:t>。</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58" w:name="_Toc988950"/>
      <w:r>
        <w:rPr>
          <w:rFonts w:hint="default" w:ascii="Times New Roman" w:hAnsi="Times New Roman" w:eastAsia="宋体" w:cs="Times New Roman"/>
          <w:b/>
          <w:bCs/>
          <w:color w:val="auto"/>
          <w:sz w:val="21"/>
          <w:szCs w:val="21"/>
          <w:highlight w:val="none"/>
        </w:rPr>
        <w:t>2、资产或股权收购、出售发生的关联交易</w:t>
      </w:r>
      <w:bookmarkEnd w:id="58"/>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公司报告期未发生资产或股权收购、出售的关联交易。</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59" w:name="_Toc988951"/>
      <w:r>
        <w:rPr>
          <w:rFonts w:hint="default" w:ascii="Times New Roman" w:hAnsi="Times New Roman" w:eastAsia="宋体" w:cs="Times New Roman"/>
          <w:b/>
          <w:bCs/>
          <w:color w:val="auto"/>
          <w:sz w:val="21"/>
          <w:szCs w:val="21"/>
          <w:highlight w:val="none"/>
        </w:rPr>
        <w:t>3、共同对外投资的关联交易</w:t>
      </w:r>
      <w:bookmarkEnd w:id="59"/>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公司报告期未发生共同对外投资的关联交易。</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60" w:name="_Toc988952"/>
      <w:r>
        <w:rPr>
          <w:rFonts w:hint="default" w:ascii="Times New Roman" w:hAnsi="Times New Roman" w:eastAsia="宋体" w:cs="Times New Roman"/>
          <w:b/>
          <w:bCs/>
          <w:color w:val="auto"/>
          <w:sz w:val="21"/>
          <w:szCs w:val="21"/>
          <w:highlight w:val="none"/>
        </w:rPr>
        <w:t>4、关联债权债务往来</w:t>
      </w:r>
      <w:bookmarkEnd w:id="60"/>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公司报告期不存在关联债权债务往来。</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61" w:name="_Toc988953"/>
      <w:r>
        <w:rPr>
          <w:rFonts w:hint="default" w:ascii="Times New Roman" w:hAnsi="Times New Roman" w:eastAsia="宋体" w:cs="Times New Roman"/>
          <w:b/>
          <w:bCs/>
          <w:color w:val="auto"/>
          <w:sz w:val="21"/>
          <w:szCs w:val="21"/>
          <w:highlight w:val="none"/>
        </w:rPr>
        <w:t>5、与存在关联关系的财务公司的往来情况</w:t>
      </w:r>
      <w:bookmarkEnd w:id="61"/>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存款业务</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关联关系</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每日最高存款限额（万元）</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存款利率范围</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期初余额（万元）</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本期合计存入金额（万元）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本期合计取出金额（万元）</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0.3-0.35%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16,024.61</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2,108,977.57</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2,104,324.65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20,677.53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贷款业务</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关联关系</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贷款额度（万元）</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贷款利率范围</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期初余额（万元）</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本期合计贷款金额（万元）</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本期合计还款金额（万元）</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1.92-2.7%</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1.5-2.55%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951,012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8,140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13,329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945,823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授信或其他金融业务</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关联关系</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业务类型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总额（万元）</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实际发生额（万元）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同属国家能源集团控制</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其他金融业务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60,492.1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60,492.1</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62" w:name="_Toc988954"/>
      <w:r>
        <w:rPr>
          <w:rFonts w:hint="default" w:ascii="Times New Roman" w:hAnsi="Times New Roman" w:eastAsia="宋体" w:cs="Times New Roman"/>
          <w:b/>
          <w:bCs/>
          <w:color w:val="auto"/>
          <w:sz w:val="21"/>
          <w:szCs w:val="21"/>
          <w:highlight w:val="none"/>
        </w:rPr>
        <w:t>6、公司控股的财务公司与关联方的往来情况</w:t>
      </w:r>
      <w:bookmarkEnd w:id="62"/>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公司控股的财务公司与关联方之间不存在存款、贷款、授信或其他金融业务。</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63" w:name="_Toc988955"/>
      <w:r>
        <w:rPr>
          <w:rFonts w:hint="default" w:ascii="Times New Roman" w:hAnsi="Times New Roman" w:eastAsia="宋体" w:cs="Times New Roman"/>
          <w:b/>
          <w:bCs/>
          <w:color w:val="auto"/>
          <w:sz w:val="21"/>
          <w:szCs w:val="21"/>
          <w:highlight w:val="none"/>
        </w:rPr>
        <w:t>7、其他重大关联交易</w:t>
      </w:r>
      <w:bookmarkEnd w:id="63"/>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pStyle w:val="4"/>
        <w:keepNext w:val="0"/>
        <w:keepLines w:val="0"/>
        <w:widowControl/>
        <w:suppressLineNumbers w:val="0"/>
        <w:spacing w:before="40" w:beforeAutospacing="0" w:after="40" w:afterAutospacing="0"/>
        <w:ind w:left="0" w:right="0" w:firstLine="48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报告期内，公司对2025年日常关联交易额度进行了预计，并对2024年日常关联交易完成情况进行了统计。经统计，公司2024年日常关联交易实际发生金额约为929,371万元，未超过1,158,344万元的预计总额。预计公司2025年日常关联交易总额约为1,166,280万元（具体内容详见公司</w:t>
      </w:r>
      <w:r>
        <w:rPr>
          <w:rFonts w:hint="default" w:ascii="Times New Roman" w:hAnsi="Times New Roman" w:cs="Times New Roman"/>
          <w:color w:val="auto"/>
          <w:sz w:val="24"/>
          <w:szCs w:val="24"/>
          <w:highlight w:val="none"/>
          <w:lang w:eastAsia="zh-CN"/>
        </w:rPr>
        <w:t>于</w:t>
      </w:r>
      <w:r>
        <w:rPr>
          <w:rFonts w:hint="default" w:ascii="Times New Roman" w:hAnsi="Times New Roman" w:eastAsia="宋体" w:cs="Times New Roman"/>
          <w:color w:val="auto"/>
          <w:sz w:val="24"/>
          <w:szCs w:val="24"/>
          <w:highlight w:val="none"/>
        </w:rPr>
        <w:t>2025年3月14日在《中国证券报》《证券时报》和巨潮资讯网上披露的《关于公司2024年日常关联交易完成情况和2025年预计情况的公告》，公告编号：2025-011）。</w:t>
      </w:r>
    </w:p>
    <w:p>
      <w:pPr>
        <w:pStyle w:val="4"/>
        <w:keepNext w:val="0"/>
        <w:keepLines w:val="0"/>
        <w:widowControl/>
        <w:suppressLineNumbers w:val="0"/>
        <w:spacing w:before="40" w:beforeAutospacing="0" w:after="40" w:afterAutospacing="0"/>
        <w:ind w:left="0" w:right="0" w:firstLine="48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报告期内，公司对2024年存、贷款关联交易完成情况进行了统计，并对2025年存、贷款关联交易进行了预计。经核查，2024年公司及控股子公司在国能财务每日存款余额最高上限发生数为22.09亿元，未超过年度预计额40亿元；公司向国能财务贷款业务每日余额最高上限发生数为112.47亿元，期末贷款余额为111.81亿元，票据承兑业务每日余额最高上限发生数为6.55亿，期末余额为1.69亿元，合计未超过年度预计额200亿元。预计2025年公司及控股子公司在国能财务每日最高存款限额为40亿元，预计2025年国能财务向公司及其控股子公司提供的直接贷款、票据承兑及贴现、非融资性保函合计每日余额不高于200亿元（具体内容详见公司</w:t>
      </w:r>
      <w:r>
        <w:rPr>
          <w:rFonts w:hint="default" w:ascii="Times New Roman" w:hAnsi="Times New Roman" w:cs="Times New Roman"/>
          <w:color w:val="auto"/>
          <w:sz w:val="24"/>
          <w:szCs w:val="24"/>
          <w:highlight w:val="none"/>
          <w:lang w:val="en-US" w:eastAsia="zh-CN"/>
        </w:rPr>
        <w:t>于</w:t>
      </w:r>
      <w:r>
        <w:rPr>
          <w:rFonts w:hint="default" w:ascii="Times New Roman" w:hAnsi="Times New Roman" w:eastAsia="宋体" w:cs="Times New Roman"/>
          <w:color w:val="auto"/>
          <w:sz w:val="24"/>
          <w:szCs w:val="24"/>
          <w:highlight w:val="none"/>
        </w:rPr>
        <w:t>2025年3月14日在《中国证券报》《证券时报》和巨潮资讯网上披露的《关于公司2024年存、贷款关联交易完成情况和2025年预计情况的公告》，公告编号：2025-010）。</w:t>
      </w:r>
    </w:p>
    <w:p>
      <w:pPr>
        <w:pStyle w:val="4"/>
        <w:keepNext w:val="0"/>
        <w:keepLines w:val="0"/>
        <w:widowControl/>
        <w:suppressLineNumbers w:val="0"/>
        <w:spacing w:before="40" w:beforeAutospacing="0" w:after="40" w:afterAutospacing="0"/>
        <w:ind w:left="0" w:right="0" w:firstLine="48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（3）报告期内，经公开招投标，公司全资子公司</w:t>
      </w:r>
      <w:r>
        <w:rPr>
          <w:rFonts w:hint="default" w:ascii="Times New Roman" w:hAnsi="Times New Roman" w:eastAsia="宋体" w:cs="Times New Roman"/>
          <w:caps w:val="0"/>
          <w:color w:val="auto"/>
          <w:spacing w:val="0"/>
          <w:sz w:val="24"/>
          <w:szCs w:val="24"/>
          <w:highlight w:val="none"/>
        </w:rPr>
        <w:t>汉川公司</w:t>
      </w:r>
      <w:r>
        <w:rPr>
          <w:rFonts w:hint="default" w:ascii="Times New Roman" w:hAnsi="Times New Roman" w:eastAsia="宋体" w:cs="Times New Roman"/>
          <w:color w:val="auto"/>
          <w:sz w:val="24"/>
          <w:szCs w:val="24"/>
          <w:highlight w:val="none"/>
        </w:rPr>
        <w:t>将其长源电力汉川公司四期2×1000MW扩建工程IMS智慧企业信息化基础设施建设项目交由公司关联方国能信控技术股份有限公司（以下简称国能信控）实施，项目中标金额为1,246.15万元（具体内容详见公司于2025年2月10日在《中国证券报》《证券时报》和巨潮资讯网上披露的《关于全资子公司长源电力汉川公司四期2×1000MW扩建工程IMS智慧企业信息化基础设施建设项目关联交易的公告》，公告编号：2025-004）。报告期内，汉川公司与国能信控签署了《长源电力汉川公司四期2×1000MW扩建工程IMS智慧企业信息化基础设施建设项目合同》（具体内容详见公司于2025年3</w:t>
      </w:r>
      <w:r>
        <w:rPr>
          <w:rFonts w:hint="default" w:ascii="Times New Roman" w:hAnsi="Times New Roman" w:eastAsia="宋体" w:cs="Times New Roman"/>
          <w:caps w:val="0"/>
          <w:color w:val="auto"/>
          <w:spacing w:val="0"/>
          <w:sz w:val="24"/>
          <w:szCs w:val="24"/>
          <w:highlight w:val="none"/>
        </w:rPr>
        <w:t>月1日</w:t>
      </w:r>
      <w:r>
        <w:rPr>
          <w:rFonts w:hint="default" w:ascii="Times New Roman" w:hAnsi="Times New Roman" w:eastAsia="宋体" w:cs="Times New Roman"/>
          <w:color w:val="auto"/>
          <w:sz w:val="24"/>
          <w:szCs w:val="24"/>
          <w:highlight w:val="none"/>
        </w:rPr>
        <w:t>在《中国证券报》《证券时报》和巨潮资讯网上披露的《关于全资子公司长源电力汉川公司四期2×1000MW扩建工程IMS智慧企业信息化基础设施建设项目关联交易的进展公告》，公告编号：2025-007）。</w:t>
      </w:r>
    </w:p>
    <w:p>
      <w:pPr>
        <w:pStyle w:val="4"/>
        <w:keepNext w:val="0"/>
        <w:keepLines w:val="0"/>
        <w:widowControl/>
        <w:suppressLineNumbers w:val="0"/>
        <w:spacing w:before="40" w:beforeAutospacing="0" w:after="40" w:afterAutospacing="0"/>
        <w:ind w:left="0" w:right="0" w:firstLine="48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（4）报告期内，经公开招投标，公司全资子公司</w:t>
      </w:r>
      <w:r>
        <w:rPr>
          <w:rFonts w:hint="default" w:ascii="Times New Roman" w:hAnsi="Times New Roman" w:eastAsia="宋体" w:cs="Times New Roman"/>
          <w:caps w:val="0"/>
          <w:color w:val="auto"/>
          <w:spacing w:val="0"/>
          <w:sz w:val="24"/>
          <w:szCs w:val="24"/>
          <w:highlight w:val="none"/>
        </w:rPr>
        <w:t>汉川公司</w:t>
      </w:r>
      <w:r>
        <w:rPr>
          <w:rFonts w:hint="default" w:ascii="Times New Roman" w:hAnsi="Times New Roman" w:eastAsia="宋体" w:cs="Times New Roman"/>
          <w:color w:val="auto"/>
          <w:sz w:val="24"/>
          <w:szCs w:val="24"/>
          <w:highlight w:val="none"/>
        </w:rPr>
        <w:t>将其长源电力汉川公司四期2×1000MW扩建工程噪声治理EPC总承包工程交由公司关联方国能水务环保有限公司（以下简称国能水务）实施，项目中标金额为3,400.951573万元（具体内容详见公司于</w:t>
      </w:r>
      <w:r>
        <w:rPr>
          <w:rFonts w:hint="default" w:ascii="Times New Roman" w:hAnsi="Times New Roman" w:eastAsia="宋体" w:cs="Times New Roman"/>
          <w:caps w:val="0"/>
          <w:color w:val="auto"/>
          <w:spacing w:val="0"/>
          <w:sz w:val="24"/>
          <w:szCs w:val="24"/>
          <w:highlight w:val="none"/>
        </w:rPr>
        <w:t>2025年2月27日</w:t>
      </w:r>
      <w:r>
        <w:rPr>
          <w:rFonts w:hint="default" w:ascii="Times New Roman" w:hAnsi="Times New Roman" w:eastAsia="宋体" w:cs="Times New Roman"/>
          <w:color w:val="auto"/>
          <w:sz w:val="24"/>
          <w:szCs w:val="24"/>
          <w:highlight w:val="none"/>
        </w:rPr>
        <w:t>在《中国证券报》《证券时报》和巨潮资讯网上披露的《关于全资子公司长源电力汉川公司四期2×1000MW扩建工程噪声治理EPC总承包工程关联交易的公告》，公告编号：</w:t>
      </w:r>
      <w:r>
        <w:rPr>
          <w:rFonts w:hint="default" w:ascii="Times New Roman" w:hAnsi="Times New Roman" w:eastAsia="宋体" w:cs="Times New Roman"/>
          <w:caps w:val="0"/>
          <w:color w:val="auto"/>
          <w:spacing w:val="0"/>
          <w:sz w:val="24"/>
          <w:szCs w:val="24"/>
          <w:highlight w:val="none"/>
        </w:rPr>
        <w:t>2025-006</w:t>
      </w:r>
      <w:r>
        <w:rPr>
          <w:rFonts w:hint="default" w:ascii="Times New Roman" w:hAnsi="Times New Roman" w:eastAsia="宋体" w:cs="Times New Roman"/>
          <w:color w:val="auto"/>
          <w:sz w:val="24"/>
          <w:szCs w:val="24"/>
          <w:highlight w:val="none"/>
        </w:rPr>
        <w:t>）。报告期内，汉川公司与国能水务签署了《长源电力汉川公司四期2×1000MW扩建工程噪声治理EPC总承包合同》（具体内容详见公司于2025年3</w:t>
      </w:r>
      <w:r>
        <w:rPr>
          <w:rFonts w:hint="default" w:ascii="Times New Roman" w:hAnsi="Times New Roman" w:eastAsia="宋体" w:cs="Times New Roman"/>
          <w:caps w:val="0"/>
          <w:color w:val="auto"/>
          <w:spacing w:val="0"/>
          <w:sz w:val="24"/>
          <w:szCs w:val="24"/>
          <w:highlight w:val="none"/>
        </w:rPr>
        <w:t>月22日</w:t>
      </w:r>
      <w:r>
        <w:rPr>
          <w:rFonts w:hint="default" w:ascii="Times New Roman" w:hAnsi="Times New Roman" w:eastAsia="宋体" w:cs="Times New Roman"/>
          <w:color w:val="auto"/>
          <w:sz w:val="24"/>
          <w:szCs w:val="24"/>
          <w:highlight w:val="none"/>
        </w:rPr>
        <w:t>在《中国证券报》《证券时报》和巨潮资讯网上披露的《关于全资子公司长源电力汉川公司四期2×1000MW扩建工程噪声治理EPC总承包工程关联交易的进展公告》，公告编号：2025-015）。</w:t>
      </w:r>
    </w:p>
    <w:p>
      <w:pPr>
        <w:pStyle w:val="4"/>
        <w:keepNext w:val="0"/>
        <w:keepLines w:val="0"/>
        <w:widowControl/>
        <w:suppressLineNumbers w:val="0"/>
        <w:spacing w:before="40" w:beforeAutospacing="0" w:after="40" w:afterAutospacing="0"/>
        <w:ind w:left="0" w:right="0" w:firstLine="48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（5）报告期内，经公开招投标，公司全资子公司</w:t>
      </w:r>
      <w:r>
        <w:rPr>
          <w:rFonts w:hint="default" w:ascii="Times New Roman" w:hAnsi="Times New Roman" w:eastAsia="宋体" w:cs="Times New Roman"/>
          <w:caps w:val="0"/>
          <w:color w:val="auto"/>
          <w:spacing w:val="0"/>
          <w:sz w:val="24"/>
          <w:szCs w:val="24"/>
          <w:highlight w:val="none"/>
        </w:rPr>
        <w:t>汉川公司</w:t>
      </w:r>
      <w:r>
        <w:rPr>
          <w:rFonts w:hint="default" w:ascii="Times New Roman" w:hAnsi="Times New Roman" w:eastAsia="宋体" w:cs="Times New Roman"/>
          <w:color w:val="auto"/>
          <w:sz w:val="24"/>
          <w:szCs w:val="24"/>
          <w:highlight w:val="none"/>
        </w:rPr>
        <w:t>将其长源电力汉川公司四期2×1000MW扩建工程基于5G+的四期人员定位系统建设扩展项目交由公司关联方国能（北京）电气技术有限公司（以下简称国能电气）实施，项目中标金额为</w:t>
      </w:r>
      <w:r>
        <w:rPr>
          <w:rFonts w:hint="default" w:ascii="Times New Roman" w:hAnsi="Times New Roman" w:eastAsia="宋体" w:cs="Times New Roman"/>
          <w:caps w:val="0"/>
          <w:color w:val="auto"/>
          <w:spacing w:val="0"/>
          <w:sz w:val="24"/>
          <w:szCs w:val="24"/>
          <w:highlight w:val="none"/>
        </w:rPr>
        <w:t>879</w:t>
      </w:r>
      <w:r>
        <w:rPr>
          <w:rFonts w:hint="default" w:ascii="Times New Roman" w:hAnsi="Times New Roman" w:eastAsia="宋体" w:cs="Times New Roman"/>
          <w:color w:val="auto"/>
          <w:sz w:val="24"/>
          <w:szCs w:val="24"/>
          <w:highlight w:val="none"/>
        </w:rPr>
        <w:t>万元（具体内容详见公司于</w:t>
      </w:r>
      <w:r>
        <w:rPr>
          <w:rFonts w:hint="default" w:ascii="Times New Roman" w:hAnsi="Times New Roman" w:eastAsia="宋体" w:cs="Times New Roman"/>
          <w:caps w:val="0"/>
          <w:color w:val="auto"/>
          <w:spacing w:val="0"/>
          <w:sz w:val="24"/>
          <w:szCs w:val="24"/>
          <w:highlight w:val="none"/>
        </w:rPr>
        <w:t>2025年4月11日</w:t>
      </w:r>
      <w:r>
        <w:rPr>
          <w:rFonts w:hint="default" w:ascii="Times New Roman" w:hAnsi="Times New Roman" w:eastAsia="宋体" w:cs="Times New Roman"/>
          <w:color w:val="auto"/>
          <w:sz w:val="24"/>
          <w:szCs w:val="24"/>
          <w:highlight w:val="none"/>
        </w:rPr>
        <w:t>在《中国证券报》《证券时报》和巨潮资讯网上披露的《关于全资子公司长源电力汉川公司四期2×1000MW扩建工程基于5G+的四期人员定位系统建设扩展项目关联交易的公告》，公告编号：</w:t>
      </w:r>
      <w:r>
        <w:rPr>
          <w:rFonts w:hint="default" w:ascii="Times New Roman" w:hAnsi="Times New Roman" w:eastAsia="宋体" w:cs="Times New Roman"/>
          <w:caps w:val="0"/>
          <w:color w:val="auto"/>
          <w:spacing w:val="0"/>
          <w:sz w:val="24"/>
          <w:szCs w:val="24"/>
          <w:highlight w:val="none"/>
        </w:rPr>
        <w:t>2025-018</w:t>
      </w:r>
      <w:r>
        <w:rPr>
          <w:rFonts w:hint="default" w:ascii="Times New Roman" w:hAnsi="Times New Roman" w:eastAsia="宋体" w:cs="Times New Roman"/>
          <w:color w:val="auto"/>
          <w:sz w:val="24"/>
          <w:szCs w:val="24"/>
          <w:highlight w:val="none"/>
        </w:rPr>
        <w:t>）。报告期内，汉川公司与</w:t>
      </w:r>
      <w:r>
        <w:rPr>
          <w:rFonts w:hint="default" w:ascii="Times New Roman" w:hAnsi="Times New Roman" w:eastAsia="宋体" w:cs="Times New Roman"/>
          <w:caps w:val="0"/>
          <w:color w:val="auto"/>
          <w:spacing w:val="0"/>
          <w:sz w:val="24"/>
          <w:szCs w:val="24"/>
          <w:highlight w:val="none"/>
        </w:rPr>
        <w:t>国能电气</w:t>
      </w:r>
      <w:r>
        <w:rPr>
          <w:rFonts w:hint="default" w:ascii="Times New Roman" w:hAnsi="Times New Roman" w:eastAsia="宋体" w:cs="Times New Roman"/>
          <w:color w:val="auto"/>
          <w:sz w:val="24"/>
          <w:szCs w:val="24"/>
          <w:highlight w:val="none"/>
        </w:rPr>
        <w:t>签署了《长源电力汉川公司四期2×1000MW扩建工程基于5G+的四期人员定位系统建设扩展合同》（具体内容详见公司于2025年4</w:t>
      </w:r>
      <w:r>
        <w:rPr>
          <w:rFonts w:hint="default" w:ascii="Times New Roman" w:hAnsi="Times New Roman" w:eastAsia="宋体" w:cs="Times New Roman"/>
          <w:caps w:val="0"/>
          <w:color w:val="auto"/>
          <w:spacing w:val="0"/>
          <w:sz w:val="24"/>
          <w:szCs w:val="24"/>
          <w:highlight w:val="none"/>
        </w:rPr>
        <w:t>月30日</w:t>
      </w:r>
      <w:r>
        <w:rPr>
          <w:rFonts w:hint="default" w:ascii="Times New Roman" w:hAnsi="Times New Roman" w:eastAsia="宋体" w:cs="Times New Roman"/>
          <w:color w:val="auto"/>
          <w:sz w:val="24"/>
          <w:szCs w:val="24"/>
          <w:highlight w:val="none"/>
        </w:rPr>
        <w:t>在《中国证券报》《证券时报》和巨潮资讯网上披露的《关于全资子公司长源电力汉川公司四期2×1000MW扩建工程基于5G+的四期人员定位系统建设扩展项目关联交易的进展公告》，公告编号：2025-037）。</w:t>
      </w:r>
    </w:p>
    <w:p>
      <w:pPr>
        <w:pStyle w:val="4"/>
        <w:keepNext w:val="0"/>
        <w:keepLines w:val="0"/>
        <w:widowControl/>
        <w:suppressLineNumbers w:val="0"/>
        <w:spacing w:before="40" w:beforeAutospacing="0" w:after="40" w:afterAutospacing="0"/>
        <w:ind w:left="0" w:right="0" w:firstLine="480"/>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6）经公司2024年第七次独立董事专门会议、第十届董事会第三十次会议审议通过，同意公司拟退出湖北松滋抽水蓄能电站项目（以下简称松滋项目），并将项目整体以协议转让的方式转让给公司关联方国家能源集团湖北能源有限公司控股的国能湖北松滋抽水蓄能有限公司（以下简称松滋公司），转让价格按北京中企华资产评估有限责任公司出具的经国有资产管理单位备案的评估报告所确定的评估值为基础定价（具体内容详见公司于</w:t>
      </w:r>
      <w:r>
        <w:rPr>
          <w:rFonts w:hint="default" w:ascii="Times New Roman" w:hAnsi="Times New Roman" w:eastAsia="宋体" w:cs="Times New Roman"/>
          <w:caps w:val="0"/>
          <w:color w:val="auto"/>
          <w:spacing w:val="0"/>
          <w:sz w:val="24"/>
          <w:szCs w:val="24"/>
          <w:highlight w:val="none"/>
        </w:rPr>
        <w:t>2024年12月28日</w:t>
      </w:r>
      <w:r>
        <w:rPr>
          <w:rFonts w:hint="default" w:ascii="Times New Roman" w:hAnsi="Times New Roman" w:eastAsia="宋体" w:cs="Times New Roman"/>
          <w:color w:val="auto"/>
          <w:sz w:val="24"/>
          <w:szCs w:val="24"/>
          <w:highlight w:val="none"/>
        </w:rPr>
        <w:t>在《中国证券报》《证券时报》和巨潮资讯网上披露的《关于拟协议转让湖北松滋抽水蓄能电站项目关联交易的公告》，公告编号：</w:t>
      </w:r>
      <w:r>
        <w:rPr>
          <w:rFonts w:hint="default" w:ascii="Times New Roman" w:hAnsi="Times New Roman" w:eastAsia="宋体" w:cs="Times New Roman"/>
          <w:caps w:val="0"/>
          <w:color w:val="auto"/>
          <w:spacing w:val="0"/>
          <w:sz w:val="24"/>
          <w:szCs w:val="24"/>
          <w:highlight w:val="none"/>
        </w:rPr>
        <w:t>2024-107</w:t>
      </w:r>
      <w:r>
        <w:rPr>
          <w:rFonts w:hint="default" w:ascii="Times New Roman" w:hAnsi="Times New Roman" w:eastAsia="宋体" w:cs="Times New Roman"/>
          <w:color w:val="auto"/>
          <w:sz w:val="24"/>
          <w:szCs w:val="24"/>
          <w:highlight w:val="none"/>
        </w:rPr>
        <w:t>）。经公司2025年第一次独立董事专门会议、第十届董事会第三十一次会议及2025年第一次临时股东大会审议通过，同意上述关联交易事项及最终转让金额，最终确定的评估值为34,085.22万元（具体内容详见公司于2025年3</w:t>
      </w:r>
      <w:r>
        <w:rPr>
          <w:rFonts w:hint="default" w:ascii="Times New Roman" w:hAnsi="Times New Roman" w:eastAsia="宋体" w:cs="Times New Roman"/>
          <w:caps w:val="0"/>
          <w:color w:val="auto"/>
          <w:spacing w:val="0"/>
          <w:sz w:val="24"/>
          <w:szCs w:val="24"/>
          <w:highlight w:val="none"/>
        </w:rPr>
        <w:t>月14日、4月2日</w:t>
      </w:r>
      <w:r>
        <w:rPr>
          <w:rFonts w:hint="default" w:ascii="Times New Roman" w:hAnsi="Times New Roman" w:eastAsia="宋体" w:cs="Times New Roman"/>
          <w:color w:val="auto"/>
          <w:sz w:val="24"/>
          <w:szCs w:val="24"/>
          <w:highlight w:val="none"/>
        </w:rPr>
        <w:t>在《中国证券报》《证券时报》和巨潮资讯网上披露的有关公告，公告编号：</w:t>
      </w:r>
      <w:r>
        <w:rPr>
          <w:rFonts w:hint="default" w:ascii="Times New Roman" w:hAnsi="Times New Roman" w:eastAsia="宋体" w:cs="Times New Roman"/>
          <w:caps w:val="0"/>
          <w:color w:val="auto"/>
          <w:spacing w:val="0"/>
          <w:sz w:val="24"/>
          <w:szCs w:val="24"/>
          <w:highlight w:val="none"/>
        </w:rPr>
        <w:t>2025-009、012、016</w:t>
      </w:r>
      <w:r>
        <w:rPr>
          <w:rFonts w:hint="default" w:ascii="Times New Roman" w:hAnsi="Times New Roman" w:eastAsia="宋体" w:cs="Times New Roman"/>
          <w:color w:val="auto"/>
          <w:sz w:val="24"/>
          <w:szCs w:val="24"/>
          <w:highlight w:val="none"/>
        </w:rPr>
        <w:t>）。报告期内，公司与</w:t>
      </w:r>
      <w:r>
        <w:rPr>
          <w:rFonts w:hint="default" w:ascii="Times New Roman" w:hAnsi="Times New Roman" w:eastAsia="宋体" w:cs="Times New Roman"/>
          <w:caps w:val="0"/>
          <w:color w:val="auto"/>
          <w:spacing w:val="0"/>
          <w:sz w:val="24"/>
          <w:szCs w:val="24"/>
          <w:highlight w:val="none"/>
        </w:rPr>
        <w:t>松滋公司</w:t>
      </w:r>
      <w:r>
        <w:rPr>
          <w:rFonts w:hint="default" w:ascii="Times New Roman" w:hAnsi="Times New Roman" w:eastAsia="宋体" w:cs="Times New Roman"/>
          <w:color w:val="auto"/>
          <w:sz w:val="24"/>
          <w:szCs w:val="24"/>
          <w:highlight w:val="none"/>
        </w:rPr>
        <w:t>签署了《湖北松滋抽水蓄能电站项目转让协议》。2025年4月24日，公司收到湖北省发展和改革委员会出具的《省发改委关于湖北松滋抽水蓄能电站项目核准内容变更的批复》（鄂发改审批服务〔2025〕128号），同意将《湖北省发展和改革委员会关于湖北松滋抽水蓄能电站项目核准的批复》（鄂发改审批服务〔2022〕326号）中的项目单位由“国家能源集团长源电力股份有限公司”变更为“国能湖北松滋抽水蓄能有限公司”（具体内容详见公司于2025年4月15日</w:t>
      </w:r>
      <w:r>
        <w:rPr>
          <w:rFonts w:hint="default" w:ascii="Times New Roman" w:hAnsi="Times New Roman" w:eastAsia="宋体" w:cs="Times New Roman"/>
          <w:caps w:val="0"/>
          <w:color w:val="auto"/>
          <w:spacing w:val="0"/>
          <w:sz w:val="24"/>
          <w:szCs w:val="24"/>
          <w:highlight w:val="none"/>
        </w:rPr>
        <w:t>、4月26日</w:t>
      </w:r>
      <w:r>
        <w:rPr>
          <w:rFonts w:hint="default" w:ascii="Times New Roman" w:hAnsi="Times New Roman" w:eastAsia="宋体" w:cs="Times New Roman"/>
          <w:color w:val="auto"/>
          <w:sz w:val="24"/>
          <w:szCs w:val="24"/>
          <w:highlight w:val="none"/>
        </w:rPr>
        <w:t>在《中国证券报》《证券时报》和巨潮资讯网上披露的有关公告，公告编号：</w:t>
      </w:r>
      <w:r>
        <w:rPr>
          <w:rFonts w:hint="default" w:ascii="Times New Roman" w:hAnsi="Times New Roman" w:eastAsia="宋体" w:cs="Times New Roman"/>
          <w:caps w:val="0"/>
          <w:color w:val="auto"/>
          <w:spacing w:val="0"/>
          <w:sz w:val="24"/>
          <w:szCs w:val="24"/>
          <w:highlight w:val="none"/>
        </w:rPr>
        <w:t>2025-020、034</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lang w:eastAsia="zh-CN"/>
        </w:rPr>
        <w:t>报告期内，交易双方均履行完毕《转让协议》约定的权利义务。</w:t>
      </w:r>
    </w:p>
    <w:p>
      <w:pPr>
        <w:spacing w:before="100" w:after="100" w:line="240" w:lineRule="exact"/>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重大关联交易临时报告披露网站相关查询</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临时公告名称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临时公告披露日期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临时公告披露网站名称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2025-004，关于全资子公司长源电力汉川公司四期2×1000MW扩建工程IMS智慧企业信息化基础设施建设项目关联交易的公告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2025年02月10日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2025-005，关于所属子公司长源电力青山热电脱硫末端废水处理改造EPC项目关联交易的进展公告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2025年02月10日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2025-006，关于全资子公司长源电力汉川公司四期2×1000MW扩建工程噪声治理EPC总承包工程关联交易的公告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2025年02月27日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2025-007，关于全资子公司长源电力汉川公司四期2×1000MW扩建工程IMS智慧企业信息化基础设施建设项目关联交易的进展公告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2025年03月01日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2025-010，关于公司2024年存、贷款关联交易完成情况和2025年预计情况的公告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2025-011，关于公司2024年日常关联交易完成情况和2025年预计情况的公告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2025年03月14日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2025-015，关于全资子公司长源电力汉川公司四期2×1000MW扩建工程噪声治理EPC总承包工程关联交易的进展公告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2025年03月22日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2025-018，关于全资子公司长源电力汉川公司四期2x1000MW扩建工程基于5G+的四期人员定位系统建设扩展项目关联交易的公告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2025年04月11日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2025-020，关于协议转让湖北松滋抽水蓄能电站项目暨关联交易进展情况的公告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2025年04月15日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2025-034，关于协议转让湖北松滋抽水蓄能电站项目暨关联交易进展情况的公告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2025年04月26日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2025-037，关于全资子公司长源电力汉川公司四期2x1000MW扩建工程基于5G+的四期人员定位系统建设扩展项目关联交易的进展公告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2025年04月30日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64" w:name="_Toc988956"/>
      <w:r>
        <w:rPr>
          <w:rFonts w:hint="default" w:ascii="Times New Roman" w:hAnsi="Times New Roman" w:eastAsia="宋体" w:cs="Times New Roman"/>
          <w:b/>
          <w:bCs/>
          <w:color w:val="auto"/>
          <w:sz w:val="24"/>
          <w:szCs w:val="24"/>
          <w:highlight w:val="none"/>
        </w:rPr>
        <w:t>十二、重大合同及其履行情况</w:t>
      </w:r>
      <w:bookmarkEnd w:id="64"/>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65" w:name="_Toc988957"/>
      <w:r>
        <w:rPr>
          <w:rFonts w:hint="default" w:ascii="Times New Roman" w:hAnsi="Times New Roman" w:eastAsia="宋体" w:cs="Times New Roman"/>
          <w:b/>
          <w:bCs/>
          <w:color w:val="auto"/>
          <w:sz w:val="21"/>
          <w:szCs w:val="21"/>
          <w:highlight w:val="none"/>
        </w:rPr>
        <w:t>1、托管、承包、租赁事项情况</w:t>
      </w:r>
      <w:bookmarkEnd w:id="65"/>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bookmarkStart w:id="66" w:name="_Toc988958"/>
      <w:r>
        <w:rPr>
          <w:rFonts w:hint="default" w:ascii="Times New Roman" w:hAnsi="Times New Roman" w:eastAsia="宋体" w:cs="Times New Roman"/>
          <w:b/>
          <w:bCs/>
          <w:color w:val="auto"/>
          <w:sz w:val="18"/>
          <w:szCs w:val="18"/>
          <w:highlight w:val="none"/>
        </w:rPr>
        <w:t>（1） 托管情况</w:t>
      </w:r>
      <w:bookmarkEnd w:id="66"/>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托管情况说明</w:t>
      </w:r>
    </w:p>
    <w:p>
      <w:pPr>
        <w:pStyle w:val="4"/>
        <w:keepNext w:val="0"/>
        <w:keepLines w:val="0"/>
        <w:widowControl/>
        <w:suppressLineNumbers w:val="0"/>
        <w:spacing w:before="0" w:beforeAutospacing="0" w:after="0" w:afterAutospacing="0"/>
        <w:ind w:left="0" w:right="0" w:firstLine="480" w:firstLineChars="20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4"/>
          <w:szCs w:val="24"/>
          <w:highlight w:val="none"/>
        </w:rPr>
        <w:t>2022年6月8日，公司与大渡河公司、大渡河新能源公司签署《委托经营管理协议》，全面承接国能大渡河老渡口水电有限公司、国能大渡河陡岭子水电有限公司、国能大渡河堵河水电有限公司、国能大渡河新能源投资有限公司富水水力发电厂、国能大渡河新能源投资有限公司南河水力发申厂、国能大渡河(咸丰)小河水电有限公司日常管理工作，管理费用每年55万元（含税），由受托管企业按年支付。</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为公司带来的损益达到公司报告期利润总额10%以上的项目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公司报告期不存在为公司带来的损益达到公司报告期利润总额10%以上的托管项目。</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bookmarkStart w:id="67" w:name="_Toc988959"/>
      <w:r>
        <w:rPr>
          <w:rFonts w:hint="default" w:ascii="Times New Roman" w:hAnsi="Times New Roman" w:eastAsia="宋体" w:cs="Times New Roman"/>
          <w:b/>
          <w:bCs/>
          <w:color w:val="auto"/>
          <w:sz w:val="18"/>
          <w:szCs w:val="18"/>
          <w:highlight w:val="none"/>
        </w:rPr>
        <w:t>（2） 承包情况</w:t>
      </w:r>
      <w:bookmarkEnd w:id="67"/>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公司报告期不存在承包情况。</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bookmarkStart w:id="68" w:name="_Toc988960"/>
      <w:r>
        <w:rPr>
          <w:rFonts w:hint="default" w:ascii="Times New Roman" w:hAnsi="Times New Roman" w:eastAsia="宋体" w:cs="Times New Roman"/>
          <w:b/>
          <w:bCs/>
          <w:color w:val="auto"/>
          <w:sz w:val="18"/>
          <w:szCs w:val="18"/>
          <w:highlight w:val="none"/>
        </w:rPr>
        <w:t>（3） 租赁情况</w:t>
      </w:r>
      <w:bookmarkEnd w:id="68"/>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租赁情况说明</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根据公司之内核单位鄂坪水电厂与十堰市九龙置业有限公司（以下简称“九龙置业”）2019年9月3日签订的《房屋租赁合同》，鄂坪水电厂租赁十堰市茅箭区五堰街道办朝阳中路第五、七、八、九楼。租赁期限自2020年1月1日起至2028年02月29日止，届时再由甲乙双方共同协商后续相关事宜。每年租赁费用根据上一年度湖北省年度CPI同比涨幅比率递增（取整计算），</w:t>
      </w:r>
      <w:r>
        <w:rPr>
          <w:rFonts w:hint="default" w:ascii="Times New Roman" w:hAnsi="Times New Roman"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新租赁准则，确认使用权资产</w:t>
      </w:r>
      <w:r>
        <w:rPr>
          <w:rFonts w:hint="default" w:ascii="Times New Roman" w:hAnsi="Times New Roman" w:cs="Times New Roman"/>
          <w:color w:val="auto"/>
          <w:sz w:val="24"/>
          <w:szCs w:val="24"/>
          <w:highlight w:val="none"/>
          <w:lang w:eastAsia="zh-CN"/>
        </w:rPr>
        <w:t>及租赁负债</w:t>
      </w:r>
      <w:r>
        <w:rPr>
          <w:rFonts w:hint="default" w:ascii="Times New Roman" w:hAnsi="Times New Roman" w:eastAsia="宋体" w:cs="Times New Roman"/>
          <w:color w:val="auto"/>
          <w:sz w:val="24"/>
          <w:szCs w:val="24"/>
          <w:highlight w:val="none"/>
        </w:rPr>
        <w:t>322.03万元。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根据公司之内核单位松木坪电厂管理处与宜昌新元实业有限公司（以下简称“新元实业”）2024年7月19日签订的《房屋租赁合同》，松木坪电厂管理处租赁宜昌市黄河路9号明珠花苑2号楼。租赁期限自2025年1月1日起至2026年12月31日止，届时再由甲乙双方共同协商后续相关事宜。租赁费用为26.78万元/年。根据新租赁准则，确认使用权资产及租赁负债51.45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3.根据公司之子公司荆门发电与国家能源集团2024年7月4日签订的《荆门土地租赁合同》，荆门热电厂租赁国家能源集团土地一宗，面积47,714.19平方米，位于荆门市白庙路80号。该宗土地鄂（2020）荆门市不动产权0007973号（原荆国用（2005）第01030900618-51号），不动产单元号420804013006GB00216W00000000-（对应原地号01010900618-51）。租赁期限自2020年10月1日起至2035年9月30日止。双方同意土地的租金为84.1万元/年。根据新租赁准则，确认使用权资产及租赁负债806.29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4.根据公司之子公司荆州热电与国家能源集团、国电武汉燃料有限公司2024年签订的《土地租赁房屋三方协议》，荆州热电租赁一宗土地不动产权利证书为鄂（2021）荆州市不动产权第0001340号（原荆州国用（2005）第10510112号），不动产单元号421002006016GB01000W00000000（对应原地号051802016）、土地面积4484.35平方米；一宗土地国有土地使用权证为荆州国用（2005）第10510113号，地号051802015，土地面积7071.81平方米；一宗土地国有土地使用权证为荆州国用（2005）第10510117号，地号051802003，土地面积8300.84平方米。租赁期限自2024年11月1日起至2035年09月30日止，届时再由甲、乙、丙三方共同协商后续相关事宜。每年租赁费用18.91万元，2024年末按新租赁准则，确认使用权资产及租赁负债151.07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5.根据公司之子公司汉川新能源与汉川市南河乡人民政府2024年2月签订的《国能长源汉川新能源有限公司汉川南河乡光伏发电项目场区用地租赁合同》，汉川新能源租赁土地1959.33亩。租赁期限自2024年1月1日起至2043年12月31日止，租赁费用2024年至2031年为99.93万元/年；2032年至2043年租赁费根据汉川市政府的统一租赁价格再行协商。根据新租赁准则，确认使用权资产及租赁负债1,485.04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6.根据公司之子公司石首综合能源与石首市博雅城市建设投资有限公司签署的《石首市高陵镇80MW农光互补光伏项目合作协议》，石首综合能源租赁石首市博雅城市建设投资有限公司位于高陵镇月堤拐村、黄陵公村、红阳村、茅草街村总面积约1698.81亩的土地。租赁期限自2022年1月1日起至2041年12月31日止。租金标准为：按年度计算，每年每亩土地租赁费为（不含税）800元。土地租金每五年上调一次，上调幅度为在前一个五年的基数上上调10%。即含税价，第2023年1月1日至第2026年12月31日为872元/亩/年，第2027年1月1日至第2031年12月31日为959.2元/亩/年，第2032年1月1日至第2036年12月31日为1055.12元/亩/年，第2037年1月1日至第2041年12月31日为1160.63元/亩/年。石首综合能源于2022年成立，并于当年按新租赁准则确认使用权资产及租赁负债2,083.15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7.根据公司之子公司荆门新能源与荆门市掇刀区麻城镇蔡院村村民委员会签署的《荆门市掇刀区麻城镇蔡院村农光互补电站项目土地流转协议》，荆门新能源租赁荆门市掇刀区麻城镇蔡院村村民委员会位于荆门市掇刀区麻城镇蔡院村境内的土地，流转面积约6,000.00亩。赁期限自2022年4月1日起至2042年3月31日止。租金标准为每亩人民币 750元/年。2023年，荆门新能源与荆门市掇刀区麻城镇蔡院村村民委员会签署流转土地面积确认书，新增租赁土地面积180亩，租赁期限自2023年4月1日起至2042年3月31日止，租金标准为每亩人民币 750元/年。</w:t>
      </w:r>
      <w:r>
        <w:rPr>
          <w:rFonts w:hint="default" w:ascii="Times New Roman" w:hAnsi="Times New Roman"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rPr>
        <w:t>新租赁准则，确认使用权资产及租赁负债6,103.42万元。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8.根据公司之子公司公安县新能源与公安县城建投资有限公司签署的《公安县狮子口镇光伏发电项目土地租赁合同》，公安县新能源租赁公安县城建投资有限公司位于公安县狮子口镇谷升寺村的土地，实际租赁面积为2600亩。租赁期限自2022年4月6日起至2047年4月6日止。租金标准为：首个五年的土地租金定为872.00元/亩·年，每五年增长5%。（即第1-5年872.00元/亩·年，第6-10年915.60元/亩·年，第11-15年961.38元/亩·年，第16-20年1009.14元/亩·年）；土地租赁期限届满后，公安县新能源对该土地享有同等条件下的优先租赁权，有权按本合同的约定续租不少于5年，届时由双方另行签订补充协议约定续租事宜（续租前5年租赁费和支付方式仍延续本租赁协议条款）。公安县新能源于2022年成立，并于当年按新租赁准则确认使用权资产及租赁负债4,074.55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9.根据公司之子公司钟祥新能源与钟祥市当地居民委员会签订的10份《农光互补电站项目土地流转协议》，钟祥新能源租赁湖北省钟祥市长寿镇人民政府、湖北省钟祥市洋梓镇人民政府、钟祥市丰乐镇船湾村村民委员会、钟祥市丰乐镇叶庄村村民委员会、钟祥市丰乐镇毛套村村民委员会、钟祥市丰乐镇白佛台村村民委员会、钟祥市丰乐镇杜湖村村民委员会、钟祥市丰乐镇高庙村村民委员会、钟祥市丰乐镇王福营村村民委员会、湖北省钟祥市官庄湖管理区共约9063.86亩土地，租赁期为20年，租赁费按每年每亩土地租赁费800元计算，租赁期内租赁费自2022年始每5年上涨2%，</w:t>
      </w:r>
      <w:r>
        <w:rPr>
          <w:rFonts w:hint="default" w:ascii="Times New Roman" w:hAnsi="Times New Roman"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rPr>
        <w:t>新租赁准则，确认使用权资产</w:t>
      </w:r>
      <w:r>
        <w:rPr>
          <w:rFonts w:hint="default" w:ascii="Times New Roman" w:hAnsi="Times New Roman" w:cs="Times New Roman"/>
          <w:color w:val="auto"/>
          <w:sz w:val="24"/>
          <w:szCs w:val="24"/>
          <w:highlight w:val="none"/>
          <w:lang w:eastAsia="zh-CN"/>
        </w:rPr>
        <w:t>及租赁负债</w:t>
      </w:r>
      <w:r>
        <w:rPr>
          <w:rFonts w:hint="default" w:ascii="Times New Roman" w:hAnsi="Times New Roman" w:eastAsia="宋体" w:cs="Times New Roman"/>
          <w:color w:val="auto"/>
          <w:sz w:val="24"/>
          <w:szCs w:val="24"/>
          <w:highlight w:val="none"/>
        </w:rPr>
        <w:t>9,746.59万元。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10.根据公司之子公司随县新能源与随县当地居民委员会签订的4份《新能源多能互补基地农光互补项目土地租赁协议》，租赁土地分别为国营万福店农场约1600亩，租赁期限自2022年1月1日起至2047年12月31日止，租金标准为每亩人民币590元/年，租赁期间内就租赁费每5年上涨3%；唐县镇桃园村约600亩，租赁期限自2022年1月1日起至2047年12月31日止，租金标准为每亩人民币650元/年，租赁期间内就租赁费每5年上涨3%；新街镇凤凰寨村约600亩，租赁期限自2022年7月1日起至2041年6月30日止，租金标准为每亩人民币600元/年，租赁期间内就租赁费每5年上涨3%；随县澴潭镇1862.41亩，租赁期限自2022年9月1日起至2048年8月30日止，租金标准为每亩人民币590元/年，租赁期间内就租赁费每5年上涨3%，随县新能源于2022年成立，并于当年按新租赁准则，确认使用权资产及租赁负债4,590.10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2023年随县新能源与随县当地居民委员会签订《新能源多能互补基地农光互补项目土地租赁协议》共10份，租赁随县新能源租赁澴潭镇（许庙、观音村）、唐县镇桃园村、万福店社区、万福店（社区居民委员会、玉皇庙村）、新街社区、新街镇（红石桥村、墩子湾村、胡堂村）、尚市镇牡丹园（星申村、民太村、神农丰源湖北国际）、尚市镇（苏家村、王家河村、社九村）、唐县桃园村等土地约6429.8亩，租赁期25年，租金标准为每亩人民币550元/年至650元/年之间，租赁费每5年上涨3%；随县新能源按新租赁准则，2023年确认使用权资产及租赁负债7,078,97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2024年随县新能源与随县当地居民委员会签订《新能源多能互补基地农光互补项目土地租赁协议》共8份，租赁随县新街镇刘家岗村、唐县镇紫金社区、新街镇刘家岗村、新街镇凤凰寨村、新街镇新街、尚市镇星申村新街镇红石桥村、墩子湾村、尙市镇星申村龙脉村等土地约2621.12亩，租赁期20年，租金标准约在人民币550元/年至650元/年之间，租赁费每5年上涨3%，随县新能源按新租赁准则，2024年确认使用权资产及租赁负债2,723.34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11.根据公司之子公司荆州新能源与荆州纪南生态文化旅游区纪南镇董场村村民委员会签订的《国能长源荆州市纪南镇100MW渔光互补光伏发电项目土地租赁合同》，租赁湖北省荆州纪南生态文化旅游区纪南镇董场村约1618亩土地，租赁期限20年，租赁单价为880元/亩/年；与荆州纪南生态文化旅游区纪南镇鲁垱村村民委员会签订《国能长源荆州市纪南镇100MW渔光互补光伏发电项目土地租赁合同》，租赁湖北省荆州纪南生态文化旅游区纪南镇鲁垱村约1150.46亩土地，租赁期限20年，租赁单价为880元/亩/年，荆州新能源按新租赁准则，确认使用权资产及租赁负债3,812.56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12.根据公司之子公司湖北新能源（实施主体现变更为荆门屈家岭新能源）与荆门市屈家岭管理区罗汉寺办事处2022年9月15日签订的《国能长源荆门屈家岭罗汉寺70MW农光互补光伏发电项目土地租赁合同》，租赁荆门市屈家岭管理区罗汉寺办事处区域总面积约1650亩，租赁期限20年，租赁费按每年每亩土地租赁费660元计算，并每五年递增5%执行；2024年按新租赁准则，确认使用权资产及租赁负债1,403.11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13.根据公司之子公司谷城新能源经谷城县盛康镇农村三资委托代理服务中心分别签署的五个土地租赁合同，租赁谷城县盛康镇大王庙、傅湾村、贾庙村、三官庙村、张棚村土地约1360.2亩。租赁期限为20年，租赁期限自2023年3月1日至2043年2月28日止。租金标准为每亩人民币500元/年，租金每5年上涨5%。2024年谷城新能源租赁谷城县盛康镇庙子头村、付湾村土地223亩，租赁期限为20年，租赁期限自2024年4月1日至2044年3月31日止，租金标准为每亩人民币500元/年，租金每5年上涨5%，根据新租赁准则，确认使用权资产及租赁负债1,031.13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谷城新能源与冷集镇村民委员会分别签署土地租赁合同，租赁冷集镇王家康村、龚家畈村、阎家庄村、王家山村、常家营村、马家庄、隋洲村、冷家沟村、双阳桥村、甘家庄村、袁家冲村、胡家湾村、塔湾村、邱家畈村、陈家山村、梁家畈村、小墨山村、刘家营村土地约4354.99亩，租赁期限为20年，租赁期限自2024年4月10日至2044年4月9日止，租金标准为每亩人民币630元/年，租金每5年上涨5%，根据新租赁准则，确认使用权资产及租赁负债3,586.13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14.根据公司之子公司潜江新能源与潜江市浩口镇人民政府，2023年6月15日签订《国能长源潜江浩口200MW渔光互补光伏发电项目土地租赁合同》，租赁湖北省潜江市浩口镇王田河村、幸福村约4200亩土地；2024年10月23日潜江新能源与潜江市浩口原种场签订《国能长源潜江浩口200MW渔光互补光伏发电项目土地租赁合同》，租赁湖北省潜江市浩口原种场水产队土地约740亩，租赁期20年，每5年租赁单价分别为850元/亩/年、876元/亩/年、902元/亩/年、929元/亩/年，潜江新能源按新租赁准则，确认使用权资产及租赁负债6,299.46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15.根据公司之子公司巴东新能源与巴东县沿渡河镇村民委员会签订租赁合同，租赁巴东县沿渡河镇石喊山村、汗石村、花妮庵村、黄金村、枫木村土地约3321.75亩，租赁期限20年，租赁单价为200元/亩/年，巴东新能源于2024年按新租赁准则，确认使用权资产及租赁负债1,304.67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16.根据公司之子公司青山热电与武汉市自然资源和规划局签署的国有建设用地使用权租赁合同，共5份：1）合同编号为QS-2020-C007，土地面积639,106.13平方米，租赁期限五年，自2020年9月9日起算，租金总额1,223.61万元；2）合同编号为QS-2020-C008，土地面积30,685.43平方米，租赁期限十年，自2020年10月16日起算，租金总额270.53万元；3）合同编号为QS-2020-C009，土地面积18,035.31平方米，租赁期限十年，自2020年10月16日起算，租金总额159.01万元；4）合同编号为QS-2020-C010，土地面积10,067.24平方米，租赁期限十年，自2020年10月16日起算，租金总额88.75万元；5）合同编号为QS-2020-C011，土地面积435,516.33平方米，租赁期限十年，自2020年10月16日起算，租金总额4,743.31万元；截至2020年12月31日，青山热电该笔租赁费账务处理在长期待摊费用核算，至2021年1月1日执行新租赁准则，剩余租赁费金额4,203.52万元，故确认使用权资产4,203.52万元，同时减少长期待摊费用4,203.52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2023年青山热电与与武汉市自然资源和规划局签署的《国有建设用地使用权租赁合同》，合同编号为QS-2023-C003,总面积7,201.8平方米，租赁期限五年，自2023年10月31日起至2028年10月30日止，租金总额54.63万元，政府收回部分的土地租金36.40万元在资产处置损益核算，剩余部分的土地租金确认使用权资产及租赁负债18.23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17.根据公司之子公司十堰水电与十堰市九龙置业有限公司（以下简称“九龙置业”）2019年9月3日签订的《房屋租赁合同》，十堰水电租赁十堰市茅箭区五堰街道办朝阳中路第五、七、八、九楼。租赁期限自2020年1月1日起至2028年02月29日止，届时再由甲乙双方共同协商后续相关事宜。每年租赁费用根据上一年度湖北省年度CPI同比涨幅比率递增（取整计算），2024年末按新租赁准则，根据上一年CPI增幅调整后，确认使用权资产</w:t>
      </w:r>
      <w:r>
        <w:rPr>
          <w:rFonts w:hint="default" w:ascii="Times New Roman" w:hAnsi="Times New Roman" w:cs="Times New Roman"/>
          <w:color w:val="auto"/>
          <w:szCs w:val="24"/>
          <w:highlight w:val="none"/>
        </w:rPr>
        <w:t>及租赁负债</w:t>
      </w:r>
      <w:r>
        <w:rPr>
          <w:rFonts w:hint="default" w:ascii="Times New Roman" w:hAnsi="Times New Roman" w:eastAsia="宋体" w:cs="Times New Roman"/>
          <w:color w:val="auto"/>
          <w:sz w:val="24"/>
          <w:szCs w:val="24"/>
          <w:highlight w:val="none"/>
        </w:rPr>
        <w:t>248.61万元。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18.根据公司之子公司汉川公司与湖北汉川经济开发区管理委员会、汉川市人民政府2020年1月15日签订的《土地租赁合同》，国能汉川发电租赁湖北汉川经济开发区管理委员会位于新河镇洪北村土地。租赁期限自2010年3月25日起至2030年3月24日止。该租金已于2010年3月向汉川市人民政府支付的《国电汉川电厂三期（2×1000MW）扩建工程灰场用地征地及灰渣清除承包协议》合同价款冲抵，无需另外向湖北汉川经济开发区管理委员会支付租金。截至2020年12月31日，汉川公司该笔租赁费账务在长期待摊费用核算，2021年1月1日执行新租赁准则，剩余租赁费金额921.81万元，故确认使用权资产921.81万元，同时减少长期待摊费用921.81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19.根据公司之子公司汉川公司与湖北省国营华严农场2022年7月28日签订的《汉川市华严农场渔光互补光伏一期发电项目土地租赁合同》，租赁汉川市华严农场水产公司区域总面积约2610亩，租赁期限25年，租赁费按每年每亩 600 斤稻谷计算结算价格按当年国家发改委公布的早灿稻、中晚灿稻及粳稻种稻谷最低收购价的平均价执行；与汉川市麻河镇人民政府2022年10月12日签订的《汉川市麻河镇渔光互补光伏发电项目土地租赁合同》，汉川市麻河镇区域，总面积约5563.55亩，租赁期限25年，租赁费按每年每亩600斤稻谷计算结算价格按当年国家发改委公布的早灿稻、中晚灿稻及粳稻种稻谷最低收购价的平均价执行；按新租赁准则，确认使用权资产</w:t>
      </w:r>
      <w:r>
        <w:rPr>
          <w:rFonts w:hint="default" w:ascii="Times New Roman" w:hAnsi="Times New Roman" w:cs="Times New Roman"/>
          <w:color w:val="auto"/>
          <w:sz w:val="24"/>
          <w:szCs w:val="24"/>
          <w:highlight w:val="none"/>
          <w:lang w:eastAsia="zh-CN"/>
        </w:rPr>
        <w:t>及租赁负债</w:t>
      </w:r>
      <w:r>
        <w:rPr>
          <w:rFonts w:hint="default" w:ascii="Times New Roman" w:hAnsi="Times New Roman" w:eastAsia="宋体" w:cs="Times New Roman"/>
          <w:color w:val="auto"/>
          <w:sz w:val="24"/>
          <w:szCs w:val="24"/>
          <w:highlight w:val="none"/>
        </w:rPr>
        <w:t>9,383.20万元。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2023年汉川公司与湖北省国营华严农场签订《汉川市华严农场渔光互补光伏二期发电项目土地租赁合同》，租赁汉川市华严农场水产公司区域总面积约833.55亩土地，租赁期限25年，租赁费按每年每亩600斤稻谷计算结算价格按当年国家发改委公布的早灿稻、中晚灿稻及粳稻种稻谷最低收购价的平均价执行；与汉川市分水镇人民政府签订《汉川市分水镇渔光互补光伏发电项目（一、二期）土地租赁合同》，租赁汉川市分水镇区域总面积约3910亩土地，租赁期限25年，租赁费按每年每亩600斤稻谷计算结算价格按当年国家发改委公布的早灿稻、中晚灿稻及粳稻种稻谷最低收购价的平均价执行；按新租赁准则，确认使用权资产</w:t>
      </w:r>
      <w:r>
        <w:rPr>
          <w:rFonts w:hint="default" w:ascii="Times New Roman" w:hAnsi="Times New Roman" w:cs="Times New Roman"/>
          <w:color w:val="auto"/>
          <w:sz w:val="24"/>
          <w:szCs w:val="24"/>
          <w:highlight w:val="none"/>
          <w:lang w:eastAsia="zh-CN"/>
        </w:rPr>
        <w:t>及租赁负债</w:t>
      </w:r>
      <w:r>
        <w:rPr>
          <w:rFonts w:hint="default" w:ascii="Times New Roman" w:hAnsi="Times New Roman" w:eastAsia="宋体" w:cs="Times New Roman"/>
          <w:color w:val="auto"/>
          <w:sz w:val="24"/>
          <w:szCs w:val="24"/>
          <w:highlight w:val="none"/>
        </w:rPr>
        <w:t>5,950.04万元。</w:t>
      </w:r>
    </w:p>
    <w:p>
      <w:pPr>
        <w:pStyle w:val="4"/>
        <w:keepNext w:val="0"/>
        <w:keepLines w:val="0"/>
        <w:widowControl/>
        <w:suppressLineNumbers w:val="0"/>
        <w:spacing w:before="100" w:beforeAutospacing="0" w:after="100" w:afterAutospacing="0" w:line="240" w:lineRule="atLeast"/>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20.根据公司之子公司恩施水电与恩施日报传媒集团有限责任公司（以下简称“恩施日报”）2017年9月8日签订的《房屋租赁合同》，恩施水电租赁恩施州传媒中心报社大楼主楼的第四、五、六楼。租赁期限自2017年9月8日起至2027年12月31日止，租赁期满后，再由甲乙双方共同协商后续相关事宜。前3年租赁费为96.17万元/年，剩余期间内，租赁费以8%的幅度逐年上调，2024年双方签订补充协议，协议约定2025年至2027年租金按130.84万元支付租金。2021年1月1日执行新租赁准则，确认使用权资产756.93万元及租赁负债658.01万元，2024年按补充协议重新确认使用权资产697.78万元及租赁负债598.87万元。</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为公司带来的损益达到公司报告期利润总额10%以上的项目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公司报告期不存在为公司带来的损益达到公司报告期利润总额10%以上的租赁项目。</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69" w:name="_Toc988961"/>
      <w:r>
        <w:rPr>
          <w:rFonts w:hint="default" w:ascii="Times New Roman" w:hAnsi="Times New Roman" w:eastAsia="宋体" w:cs="Times New Roman"/>
          <w:b/>
          <w:bCs/>
          <w:color w:val="auto"/>
          <w:sz w:val="21"/>
          <w:szCs w:val="21"/>
          <w:highlight w:val="none"/>
        </w:rPr>
        <w:t>2、重大担保</w:t>
      </w:r>
      <w:bookmarkEnd w:id="69"/>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公司报告期不存在重大担保情况。</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70" w:name="_Toc988962"/>
      <w:r>
        <w:rPr>
          <w:rFonts w:hint="default" w:ascii="Times New Roman" w:hAnsi="Times New Roman" w:eastAsia="宋体" w:cs="Times New Roman"/>
          <w:b/>
          <w:bCs/>
          <w:color w:val="auto"/>
          <w:sz w:val="21"/>
          <w:szCs w:val="21"/>
          <w:highlight w:val="none"/>
        </w:rPr>
        <w:t>3、委托理财</w:t>
      </w:r>
      <w:bookmarkEnd w:id="70"/>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公司报告期不存在委托理财。</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71" w:name="_Toc988963"/>
      <w:r>
        <w:rPr>
          <w:rFonts w:hint="default" w:ascii="Times New Roman" w:hAnsi="Times New Roman" w:eastAsia="宋体" w:cs="Times New Roman"/>
          <w:b/>
          <w:bCs/>
          <w:color w:val="auto"/>
          <w:sz w:val="21"/>
          <w:szCs w:val="21"/>
          <w:highlight w:val="none"/>
        </w:rPr>
        <w:t>4、其他重大合同</w:t>
      </w:r>
      <w:bookmarkEnd w:id="71"/>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公司报告期不存在其他重大合同。</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72" w:name="_Toc988964"/>
      <w:r>
        <w:rPr>
          <w:rFonts w:hint="default" w:ascii="Times New Roman" w:hAnsi="Times New Roman" w:eastAsia="宋体" w:cs="Times New Roman"/>
          <w:b/>
          <w:bCs/>
          <w:color w:val="auto"/>
          <w:sz w:val="24"/>
          <w:szCs w:val="24"/>
          <w:highlight w:val="none"/>
        </w:rPr>
        <w:t>十三、其他重大事项的说明</w:t>
      </w:r>
      <w:bookmarkEnd w:id="72"/>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1. 报告期内，公司董事会收到公司副董事长李海滨先生的书面辞职报告。因正常工作调整，李海滨先生申请辞去公司副董事长、董事职务，辞职后将不在公司及其控股子公司任职（具体内容详见公司于 2025年4月22日在《中国证券报》《证券时报》和巨潮资讯网上披露的《关于公司董事辞职的公告》，公告编号：2025-021）。</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 报告期内，经公司第十届董事会第三十二次会议、第十届监事会第二十一次会议审议通过，公司2024年度计提信用减值损失和资产减值损失共计8,822.88万元，相应减少公司2024年度营业利润8,822.88万元（具体内容详见公司于2025年4月26日在《中国证券报》《证券时报》和巨潮资讯网上披露的《关于计提资产减值准备的公告》，公告编号：2025-028）。</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3. 报告期内，经公司第十届董事会第三十二次会议及2024年度股东大会审议通过，2024年度利润分配方案为：以2024年股本3,481,035,016股为基数，向公司全体股东每10股派现金0.72元（含税），共计派发现金股利250,634,521.15元（含税），本次不采用股票股利分配方式，亦不进行资本公积金转增股本。截至本报告披露日，公司已完成2024年年度分红派息的实施，除权除息日为2025年7月15日（具体内容详见公司于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年4月26日、5月30日、7月8日在《中国证券报》《证券时报》和巨潮资讯网上披露的有关公告，公告编号：2025-022、025、043、047）。</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4. 经中国证监会出具的《关于同意国家能源集团长源电力股份有限公司向特定对象发行股票注册的批复》（证监许可〔2024〕1021号）同意注册，公司向特定对象发行人民币普通股（A股）共计731,707,317股，发行价格为4.10元/股。本次向特定对象发行股票新增731,707,317股于2024年12月3日上市，其中，公司控股股东国家能源集团认购的股份自发行结束并上市之日起18个月内不得转让，其他发行对象认购的股份自发行结束并上市之日起6个月内不得转让。报告期内，公司完成了本次向特定对象发行股票部分股份的解除限售，解除限售股份数量为512,195,121股，占公司总股本3,481,035,016股的14.71%，本次解除限售股份的上市流通日期为2025年6月3日（具体内容详见公司于</w:t>
      </w:r>
      <w:r>
        <w:rPr>
          <w:rFonts w:hint="default" w:ascii="Times New Roman" w:hAnsi="Times New Roman" w:eastAsia="宋体" w:cs="Times New Roman"/>
          <w:color w:val="auto"/>
          <w:spacing w:val="1"/>
          <w:sz w:val="24"/>
          <w:szCs w:val="24"/>
          <w:highlight w:val="none"/>
        </w:rPr>
        <w:t>2025年5月29日</w:t>
      </w:r>
      <w:r>
        <w:rPr>
          <w:rFonts w:hint="default" w:ascii="Times New Roman" w:hAnsi="Times New Roman" w:eastAsia="宋体" w:cs="Times New Roman"/>
          <w:color w:val="auto"/>
          <w:sz w:val="24"/>
          <w:szCs w:val="24"/>
          <w:highlight w:val="none"/>
        </w:rPr>
        <w:t>在《中国证券报》《证券时报》和巨潮资讯网上披露的《关于向特定对象发行股票部分限售股份解除限售上市流通的提示性公告》，公告编号：</w:t>
      </w:r>
      <w:r>
        <w:rPr>
          <w:rFonts w:hint="default" w:ascii="Times New Roman" w:hAnsi="Times New Roman" w:eastAsia="宋体" w:cs="Times New Roman"/>
          <w:color w:val="auto"/>
          <w:spacing w:val="1"/>
          <w:sz w:val="24"/>
          <w:szCs w:val="24"/>
          <w:highlight w:val="none"/>
        </w:rPr>
        <w:t>2025-041</w:t>
      </w:r>
      <w:r>
        <w:rPr>
          <w:rFonts w:hint="default" w:ascii="Times New Roman" w:hAnsi="Times New Roman" w:eastAsia="宋体" w:cs="Times New Roman"/>
          <w:color w:val="auto"/>
          <w:sz w:val="24"/>
          <w:szCs w:val="24"/>
          <w:highlight w:val="none"/>
        </w:rPr>
        <w:t>）。</w:t>
      </w:r>
    </w:p>
    <w:p>
      <w:pPr>
        <w:pStyle w:val="4"/>
        <w:keepNext w:val="0"/>
        <w:keepLines w:val="0"/>
        <w:widowControl/>
        <w:suppressLineNumbers w:val="0"/>
        <w:spacing w:before="0" w:beforeAutospacing="0" w:after="0" w:afterAutospacing="0" w:line="380" w:lineRule="atLeast"/>
        <w:ind w:left="0" w:right="0" w:firstLine="48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4"/>
          <w:szCs w:val="24"/>
          <w:highlight w:val="none"/>
        </w:rPr>
        <w:t> </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73" w:name="_Toc988965"/>
      <w:r>
        <w:rPr>
          <w:rFonts w:hint="default" w:ascii="Times New Roman" w:hAnsi="Times New Roman" w:eastAsia="宋体" w:cs="Times New Roman"/>
          <w:b/>
          <w:bCs/>
          <w:color w:val="auto"/>
          <w:sz w:val="24"/>
          <w:szCs w:val="24"/>
          <w:highlight w:val="none"/>
        </w:rPr>
        <w:t>十四、公司子公司重大事项</w:t>
      </w:r>
      <w:bookmarkEnd w:id="73"/>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pStyle w:val="4"/>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1.2021年1月12日，公司收到禹州市人民法院《民事裁定书》，因公司控股子公司河南煤业（公司持有其 75%的股权，该公司已被法院裁定终结破产清算程序，尚待管理人处理完破产相关事项后清算注销）全资子公司禹州市安兴煤业有限公司（以下简称安兴煤业）和禹州市兴华煤业有限公司（以下简称兴华煤业）不能清偿到期债务且明显缺乏清偿能力，经河南煤业破产管理人决定，以河南煤业作为债权人，向法院申请对安兴煤业和兴华煤业进行破产清算，法院于 2020年11月6日受理了上述申请，2022 年4月18日，禹州法院采取摇号的方式，指定河南兴达破产清算服务有限公司担任安兴煤业破产管理人，负责人底晓辉；指定河南世纪通律师事务所担任兴华煤业破产管理人，负责人曹峰。2022年8月12日，公司收到禹州法院（2020）豫 1081 民破 1 号之二《民事裁定书》，宣告安兴煤业破产。2022年10月10日，公司收到禹州法院（2020）豫 1081 民破1 号之三《民事裁定书》，认可安兴煤业《破产财产分配方案》。同日，公司收到禹州法院（2020）豫1081民破 2 号之二、三、四号《民事裁定书》，宣告兴华煤业破产，认可兴华煤业《破产财产分配方案》，并裁定先行终结兴华煤业破产清算程序，但保留管理人继续履行职责，待相关破产事项处理完毕后再予以撤销。（具体内容详见公司于2022 年4 月9 日、8月13日和 10 月 2 日在《中国证券报》《证券时报》和巨潮资讯网上披露的有关公告，公告编号：2022-044、082、098）。</w:t>
      </w:r>
      <w:r>
        <w:rPr>
          <w:rFonts w:hint="default" w:ascii="Times New Roman" w:hAnsi="Times New Roman" w:eastAsia="宋体" w:cs="Times New Roman"/>
          <w:color w:val="auto"/>
          <w:sz w:val="24"/>
          <w:szCs w:val="24"/>
          <w:highlight w:val="none"/>
          <w:lang w:val="en-US" w:eastAsia="zh-CN"/>
        </w:rPr>
        <w:t>2024年12月27日，</w:t>
      </w:r>
      <w:r>
        <w:rPr>
          <w:rFonts w:hint="default" w:ascii="Times New Roman" w:hAnsi="Times New Roman" w:eastAsia="宋体" w:cs="Times New Roman"/>
          <w:color w:val="auto"/>
          <w:sz w:val="24"/>
          <w:szCs w:val="24"/>
          <w:highlight w:val="none"/>
        </w:rPr>
        <w:t>安兴、兴华煤业</w:t>
      </w:r>
      <w:r>
        <w:rPr>
          <w:rFonts w:hint="default" w:ascii="Times New Roman" w:hAnsi="Times New Roman" w:eastAsia="宋体" w:cs="Times New Roman"/>
          <w:color w:val="auto"/>
          <w:sz w:val="24"/>
          <w:szCs w:val="24"/>
          <w:highlight w:val="none"/>
          <w:lang w:val="en-US" w:eastAsia="zh-CN"/>
        </w:rPr>
        <w:t>已完成破产清算注销，但保留管理人账户用于回收政府退还的安兴、兴华煤业剩余资源价款</w:t>
      </w:r>
      <w:r>
        <w:rPr>
          <w:rFonts w:hint="default" w:ascii="Times New Roman" w:hAnsi="Times New Roman" w:eastAsia="宋体" w:cs="Times New Roman"/>
          <w:color w:val="auto"/>
          <w:sz w:val="24"/>
          <w:szCs w:val="24"/>
          <w:highlight w:val="none"/>
        </w:rPr>
        <w:t>。报告期内，</w:t>
      </w:r>
      <w:r>
        <w:rPr>
          <w:rFonts w:hint="default" w:ascii="Times New Roman" w:hAnsi="Times New Roman" w:eastAsia="宋体" w:cs="Times New Roman"/>
          <w:color w:val="auto"/>
          <w:sz w:val="24"/>
          <w:szCs w:val="24"/>
          <w:highlight w:val="none"/>
          <w:lang w:val="en-US" w:eastAsia="zh-CN"/>
        </w:rPr>
        <w:t>河南煤业完成破产财产处置，截止本报告期末，河南煤业银行账户及税务注销工作已完成，公司主体资格和管理人账户暂时保留用于处置应收账款。</w:t>
      </w:r>
    </w:p>
    <w:p>
      <w:pPr>
        <w:pStyle w:val="4"/>
        <w:keepNext w:val="0"/>
        <w:keepLines w:val="0"/>
        <w:widowControl/>
        <w:numPr>
          <w:ilvl w:val="-1"/>
          <w:numId w:val="0"/>
        </w:numPr>
        <w:suppressLineNumbers w:val="0"/>
        <w:spacing w:before="0" w:beforeAutospacing="0" w:after="0" w:afterAutospacing="0" w:line="360" w:lineRule="atLeast"/>
        <w:ind w:left="0" w:leftChars="0" w:right="0"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河南东升煤业有限公司（以下简称东升煤业）为公司参股公司，公司持有其40%的股权，主要从事煤矿投资、煤炭生产业务。2017年，东升煤业按照河南省地方政策关闭退出。2019年6月13日，法院受理东升煤业破产案件，并指定河南东升煤业有限公司破产清算组担任破产管理人（具体情况详见公司于2017年4月15日和2019年7月3日在《中国证券报》《证券时报》和巨潮资讯网上披露的有关公告，公告编号：2017-021，2019-045）。公司严格按照东升煤业破产管理人的要求组织申报了破产债权，并按时参加了债权人大会。2021年7月16日，公司收到东升煤业破产管理人转来的破产管辖法院河南省郑州市中级人民法院（2019）豫01破24号之四《民事裁定书》，该裁定书载明法院认可东升煤业管理人编制的《河南东升煤业有限公司破产财产分配方案》，根据破产管理人的请求终结东升煤业的破产程序，但保留管理人处理遗留问题（具体情况详见公司于2021年7月20日在《中国证券报》《证券时报》和巨潮资讯网上披露的有关公告，公告编号：2021-071）。截至本报告期末，因东升煤业破产管理人自身进入破产清算阶段，东升煤业破产财产处置尚未完成，其可供实际分配的剩余财产数额暂无法确定。</w:t>
      </w:r>
    </w:p>
    <w:p>
      <w:pPr>
        <w:pStyle w:val="4"/>
        <w:keepNext w:val="0"/>
        <w:keepLines w:val="0"/>
        <w:widowControl/>
        <w:numPr>
          <w:ilvl w:val="-1"/>
          <w:numId w:val="0"/>
        </w:numPr>
        <w:suppressLineNumbers w:val="0"/>
        <w:spacing w:before="0" w:beforeAutospacing="0" w:after="0" w:afterAutospacing="0" w:line="360" w:lineRule="atLeast"/>
        <w:ind w:left="0" w:leftChars="0" w:right="0"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报告期内，公司收到湖北省发展和改革委员会下发的《省发改委关于湖北钟祥抽水蓄能电站项目核准的批复》（鄂发改审批服务〔2025〕127号），公司控股子公司国能长源钟祥新能源有限公司作为项目单位开发的湖北钟祥抽水蓄能电站项目获得核准（具体情况详见公司于2025年4月30日在《中国证券报》《证券时报》和巨潮资讯网上披露的《关于湖北钟祥抽水蓄能电站项目获得核准的自愿性信息披露公告》，公告编号：</w:t>
      </w:r>
      <w:r>
        <w:rPr>
          <w:rFonts w:hint="default" w:ascii="Times New Roman" w:hAnsi="Times New Roman" w:eastAsia="宋体" w:cs="Times New Roman"/>
          <w:b w:val="0"/>
          <w:bCs w:val="0"/>
          <w:color w:val="auto"/>
          <w:sz w:val="24"/>
          <w:szCs w:val="24"/>
          <w:highlight w:val="none"/>
        </w:rPr>
        <w:t>2025-036</w:t>
      </w:r>
      <w:r>
        <w:rPr>
          <w:rFonts w:hint="default" w:ascii="Times New Roman" w:hAnsi="Times New Roman" w:eastAsia="宋体" w:cs="Times New Roman"/>
          <w:color w:val="auto"/>
          <w:sz w:val="24"/>
          <w:szCs w:val="24"/>
          <w:highlight w:val="none"/>
        </w:rPr>
        <w:t>）。</w:t>
      </w:r>
    </w:p>
    <w:p>
      <w:pPr>
        <w:pStyle w:val="4"/>
        <w:keepNext w:val="0"/>
        <w:keepLines w:val="0"/>
        <w:widowControl/>
        <w:numPr>
          <w:ilvl w:val="-1"/>
          <w:numId w:val="0"/>
        </w:numPr>
        <w:suppressLineNumbers w:val="0"/>
        <w:spacing w:before="0" w:beforeAutospacing="0" w:after="0" w:afterAutospacing="0" w:line="360" w:lineRule="atLeast"/>
        <w:ind w:left="0" w:leftChars="0" w:right="0"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报告期内，公司所属子公司随县新能源国能长源随州市随县百万千瓦新能源多能互补基地二期100MW项目实现全容量并网发电（具体情况详见公司于2025年5月30日在《中国证券报》《证券时报》和巨潮资讯网上披露的《关于国能长源随州市随县百万千瓦新能源多能互补基地二期100MW项目全容量并网发电的自愿性信息披露公告》，公告编号：2025-042）。</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bookmarkStart w:id="74" w:name="_Toc988966"/>
      <w:r>
        <w:rPr>
          <w:rFonts w:hint="default" w:ascii="Times New Roman" w:hAnsi="Times New Roman" w:eastAsia="宋体" w:cs="Times New Roman"/>
          <w:b/>
          <w:bCs/>
          <w:color w:val="auto"/>
          <w:sz w:val="32"/>
          <w:szCs w:val="32"/>
          <w:highlight w:val="none"/>
        </w:rPr>
        <w:t>第六节 股份变动及股东情况</w:t>
      </w:r>
      <w:bookmarkEnd w:id="74"/>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75" w:name="_Toc988967"/>
      <w:r>
        <w:rPr>
          <w:rFonts w:hint="default" w:ascii="Times New Roman" w:hAnsi="Times New Roman" w:eastAsia="宋体" w:cs="Times New Roman"/>
          <w:b/>
          <w:bCs/>
          <w:color w:val="auto"/>
          <w:sz w:val="24"/>
          <w:szCs w:val="24"/>
          <w:highlight w:val="none"/>
        </w:rPr>
        <w:t>一、股份变动情况</w:t>
      </w:r>
      <w:bookmarkEnd w:id="75"/>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76" w:name="_Toc988968"/>
      <w:r>
        <w:rPr>
          <w:rFonts w:hint="default" w:ascii="Times New Roman" w:hAnsi="Times New Roman" w:eastAsia="宋体" w:cs="Times New Roman"/>
          <w:b/>
          <w:bCs/>
          <w:color w:val="auto"/>
          <w:sz w:val="21"/>
          <w:szCs w:val="21"/>
          <w:highlight w:val="none"/>
        </w:rPr>
        <w:t>1、股份变动情况</w:t>
      </w:r>
      <w:bookmarkEnd w:id="76"/>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单位：股
</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本次变动前</w:t>
            </w:r>
          </w:p>
        </w:tc>
        <w:tc>
          <w:tcPr>
            <w:tcW w:w="4820"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本次变动增减（＋，－）</w:t>
            </w:r>
          </w:p>
        </w:tc>
        <w:tc>
          <w:tcPr>
            <w:tcW w:w="1928"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本次变动后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发行新股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送股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公积金转股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小计</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一、有限售条件股份</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731,707,317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21.02%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219,512,196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1、国家持股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2、国有法人持股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492,439,022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272,926,826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272,926,826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219,512,196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3、其他内资持股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239,268,295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6.87%</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239,268,295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239,268,295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其中：境内法人持股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227,073,174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6.52%</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227,073,174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227,073,174</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境内自然人持股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0.35%</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4、外资持股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其中：境外法人持股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境外自然人持股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二、无限售条件股份</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2,749,327,699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78.98%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3,261,522,820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1、人民币普通股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2,749,327,699</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78.98%</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512,195,121</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3,261,522,820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2、境内上市的外资股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3、境外上市的外资股</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三、股份总数</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w:t>
            </w:r>
          </w:p>
        </w:tc>
        <w:tc>
          <w:tcPr>
            <w:tcW w:w="964"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股份变动的原因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pStyle w:val="4"/>
        <w:keepNext w:val="0"/>
        <w:keepLines w:val="0"/>
        <w:widowControl/>
        <w:suppressLineNumbers w:val="0"/>
        <w:ind w:firstLine="48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经中国证监会出具的《关于同意国家能源集团长源电力股份有限公司向特定对象发行股票注册的批复》（证监许可〔2024〕1021号）同意注册，公司向特定对象发行人民币普通股（A股）共计731,707,317股，发行价格为4.10元/股。本次向特定对象发行股票新增731,707,317股于2024年12月3日上市，其中，公司控股股东国家能源集团认购的股份自发行结束并上市之日起18个月内不得转让，其他发行对象认购的股份自发行结束并上市之日起6个月内不得转让。报告期内，公司完成了本次向特定对象发行股票部分股份的解除限售，解除限售股份数量为512,195,121股，占公司总股本3,481,035,016股的14.71%，占本次解除限售前公司无限售条件股份的18.63%，占本次解除限售后公司无限售条件股份的15.70%，本次解除限售股份的上市流通日期为2025年6月3日（具体内容详见公司于</w:t>
      </w:r>
      <w:r>
        <w:rPr>
          <w:rFonts w:hint="default" w:ascii="Times New Roman" w:hAnsi="Times New Roman" w:eastAsia="宋体" w:cs="Times New Roman"/>
          <w:color w:val="auto"/>
          <w:spacing w:val="1"/>
          <w:sz w:val="24"/>
          <w:szCs w:val="24"/>
          <w:highlight w:val="none"/>
        </w:rPr>
        <w:t>2025年5月29日</w:t>
      </w:r>
      <w:r>
        <w:rPr>
          <w:rFonts w:hint="default" w:ascii="Times New Roman" w:hAnsi="Times New Roman" w:eastAsia="宋体" w:cs="Times New Roman"/>
          <w:color w:val="auto"/>
          <w:sz w:val="24"/>
          <w:szCs w:val="24"/>
          <w:highlight w:val="none"/>
        </w:rPr>
        <w:t>在《中国证券报》《证券时报》和巨潮资讯网上披露的《关于向特定对象发行股票部分限售股份解除限售上市流通的提示性公告》，公告编号：</w:t>
      </w:r>
      <w:r>
        <w:rPr>
          <w:rFonts w:hint="default" w:ascii="Times New Roman" w:hAnsi="Times New Roman" w:eastAsia="宋体" w:cs="Times New Roman"/>
          <w:color w:val="auto"/>
          <w:spacing w:val="1"/>
          <w:sz w:val="24"/>
          <w:szCs w:val="24"/>
          <w:highlight w:val="none"/>
        </w:rPr>
        <w:t>2025-041</w:t>
      </w:r>
      <w:r>
        <w:rPr>
          <w:rFonts w:hint="default" w:ascii="Times New Roman" w:hAnsi="Times New Roman" w:eastAsia="宋体" w:cs="Times New Roman"/>
          <w:color w:val="auto"/>
          <w:sz w:val="24"/>
          <w:szCs w:val="24"/>
          <w:highlight w:val="none"/>
        </w:rPr>
        <w:t>）。</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股份变动的批准情况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股份变动的过户情况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股份回购的实施进展情况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采用集中竞价方式减持回购股份的实施进展情况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股份变动对最近一年和最近一期基本每股收益和稀释每股收益、归属于公司普通股股东的每股净资产等财务指标的影响</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公司认为必要或证券监管机构要求披露的其他内容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bookmarkStart w:id="77" w:name="_Toc988969"/>
      <w:r>
        <w:rPr>
          <w:rFonts w:hint="default" w:ascii="Times New Roman" w:hAnsi="Times New Roman" w:eastAsia="宋体" w:cs="Times New Roman"/>
          <w:b/>
          <w:bCs/>
          <w:color w:val="auto"/>
          <w:sz w:val="21"/>
          <w:szCs w:val="21"/>
          <w:highlight w:val="none"/>
        </w:rPr>
        <w:t>2、限售股份变动情况</w:t>
      </w:r>
      <w:bookmarkEnd w:id="77"/>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单位：股</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股东名称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本期解除限售股数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期末限售股数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限售原因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解除限售日期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中国能源建设集团有限公司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中国能源建设集团有限公司以现金认购取得的本公司向特定对象发行的121,951,219股，上述股份自发行完成日起6个月内将不以任何方式转让，包括但不限于通过证券市场公开转让或通过协议方式转让。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湖北省铁路发展基金有限责任公司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73,170,731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73,170,731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湖北省铁路发展基金有限责任公司以现金认购取得的本公司向特定对象发行的73,170,73股，上述股份自发行完成日起6个月内将不以任何方式转让，包括但不限于通过证券市场公开转让或通过协议方式转让。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诺德基金管理有限公司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56,756,097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56,756,097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诺德基金管理有限公司以现金认购取得的本公司向特定对象发行的56,756,097股，上述股份自发行完成日起6个月内将不以任何方式转让，包括但不限于通过证券市场公开转让或通过协议方式转让。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易米基金管理有限公司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48,780,487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48,780,487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易米基金管理有限公司以现金认购取得的本公司向特定对象发行的48,780,487股，上述股份自发行完成日起6个月内将不以任何方式转让，包括但不限于通过证券市场公开转让或通过协议方式转让。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国家绿色发展基金股份有限公司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36,585,365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36,585,365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国家绿色发展基金股份有限公司以现金认购取得的本公司向特定对象发行的36,585,365股，上述股份自发行完成日起6个月内将不以任何方式转让，包括但不限于通过证券市场公开转让或通过协议方式转让。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财通基金管理有限公司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26,414,642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26,414,642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财通基金管理有限公司以现金认购取得的本公司向特定对象发行的26,414,642股，上述股份自发行完成日起6个月内将不以任何方式转让，包括但不限于通过证券市场公开转让或通过协议方式转让。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瑞众人寿保险有限责任公司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24,390,243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24,390,243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瑞众人寿保险有限责任公司以现金认购取得的本公司向特定对象发行的24,390,243股，上述股份自发行完成日起6个月内将不以任何方式转让，包括但不限于通过证券市场公开转让或通过协议方式转让。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江苏高投毅达绿色转型产业投资基金（有限合伙）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19,512,195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19,512,195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江苏高投毅达绿色转型产业投资基金（有限合伙）以现金认购取得的本公司向特定对象发行的19,512,195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国调创新私募股权投资基金（南昌）合伙企业（有限合伙）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19,512,195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19,512,195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调创新私募股权投资基金（南昌）合伙企业（有限合伙）以现金认购取得的本公司向特定对象发行的19,512,195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深圳市达晨财智创业投资管理有限公司-江西赣江新区财投晨源股权投资中心（有限合伙）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17,073,170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17,073,170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深圳市达晨财智创业投资管理有限公司-江西赣江新区财投晨源股权投资中心（有限合伙）以现金认购取得的本公司向特定对象发行的17,073,170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国泰君安证券股份有限公司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16,829,268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16,829,268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国泰君安证券股份有限公司以现金认购取得的本公司向特定对象发行的16,829,268股，上述股份自发行完成日起6个月内将不以任何方式转让，包括但不限于通过证券市场公开转让或通过协议方式转让。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中节能（湖北）环保产业股权投资基金合伙企业（有限合伙）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14,634,146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14,634,146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节能（湖北）环保产业股权投资基金合伙企业（有限合伙）以现金认购取得的本公司向特定对象发行的14,634,146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王梓煜</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王梓煜以现金认购取得的本公司向特定对象发行的12,195,121股，上述股份自发行完成日起6个月内将不以任何方式转让，包括但不限于通过证券市场公开转让或通过协议方式转让。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山东三足私募证券投资基金管理有限公司-三足天富2号私募证券投资基金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东三足私募证券投资基金管理有限公司-三足天富2号私募证券投资基金以现金认购取得的本公司向特定对象发行的12,195,121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济南瀚祥投资管理合伙企业（有限合伙）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济南瀚祥投资管理合伙企业（有限合伙）以现金认购取得的本公司向特定对象发行的12,195,121股，上述股份自发行完成日起6个月内将不以任何方式转让，包括但不限于通过证券市场公开转让或通过协议方式转让。</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512,195,121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512,195,121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78" w:name="_Toc988970"/>
      <w:r>
        <w:rPr>
          <w:rFonts w:hint="default" w:ascii="Times New Roman" w:hAnsi="Times New Roman" w:eastAsia="宋体" w:cs="Times New Roman"/>
          <w:b/>
          <w:bCs/>
          <w:color w:val="auto"/>
          <w:sz w:val="24"/>
          <w:szCs w:val="24"/>
          <w:highlight w:val="none"/>
        </w:rPr>
        <w:t>二、证券发行与上市情况</w:t>
      </w:r>
      <w:bookmarkEnd w:id="78"/>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79" w:name="_Toc988971"/>
      <w:r>
        <w:rPr>
          <w:rFonts w:hint="default" w:ascii="Times New Roman" w:hAnsi="Times New Roman" w:eastAsia="宋体" w:cs="Times New Roman"/>
          <w:b/>
          <w:bCs/>
          <w:color w:val="auto"/>
          <w:sz w:val="24"/>
          <w:szCs w:val="24"/>
          <w:highlight w:val="none"/>
        </w:rPr>
        <w:t>三、公司股东数量及持股情况</w:t>
      </w:r>
      <w:bookmarkEnd w:id="79"/>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单位：股</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报告期末普通股股东总数</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116,582</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报告期末表决权恢复的优先股股东总数（如有）（参见注8）</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持股5%以上的股东或前10名股东持股情况（不含通过转融通出借股份）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股东名称</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股东性质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持股比例</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报告期末持股数量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报告期内增减变动情况</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持有有限售条件的股份数量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持有无限售条件的股份数量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股份状态</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2,075,329,926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219,512,196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1,855,817,730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中国能源建设集团有限公司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湖北省铁路发展基金有限责任公司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73,170,731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73,170,731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易米基金－日照钢铁控股集团有限公司－易米基金元启二号单一资产管理计划</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48,780,487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48,780,487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湖北能源集团股份有限公司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41,158,725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41,158,725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瑞众人寿保险有限责任公司－自有资金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24,390,243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24,390,243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王梓煜</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境内自然人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24,055,221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1,200,100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24,055,221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国调创新（北京）私募基金管理有限公司－国调创新私募股权投资基金（南昌）合伙企业（有限合伙）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0.56%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19,512,195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19,512,195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江苏高投毅达绿色转型产业投资基金（有限合伙）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境内非国有法人</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0.44%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15,238,395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-4,273,800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15,238,395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深圳市达晨财智创业投资管理有限公司－江西赣江新区财投晨源股权投资中心（有限合伙）</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11,583,170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-5,490,000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11,583,170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不适用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战略投资者或一般法人因配售新股成为前10名股东的情况（如有）（参见注3）</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上述股东关联关系或一致行动的说明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国家能源投资集团有限责任公司是湖北能源集团股份有限公司的股东，持股比例为3.26%。除此之外，上述股东之间未知是否存在其它关联关系或属于《上市公司收购管理办法》规定的一致行动人。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上述股东涉及委托/受托表决权、放弃表决权情况的说明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前10名股东中存在回购专户的特别说明（如有）（参见注11）</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9"/>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前10名无限售条件股东持股情况（不含通过转融通出借股份、高管锁定股）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股东名称</w:t>
            </w:r>
          </w:p>
        </w:tc>
        <w:tc>
          <w:tcPr>
            <w:tcW w:w="5355" w:type="dxa"/>
            <w:gridSpan w:val="5"/>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报告期末持有无限售条件股份数量</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355" w:type="dxa"/>
            <w:gridSpan w:val="5"/>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股份种类</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1,855,817,730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1,855,817,730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中国能源建设集团有限公司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121,951,219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湖北省铁路发展基金有限责任公司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73,170,731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73,170,731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易米基金－日照钢铁控股集团有限公司－易米基金元启二号单一资产管理计划</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48,780,487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48,780,487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湖北能源集团股份有限公司</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41,158,725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41,158,725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瑞众人寿保险有限责任公司－自有资金</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24,390,243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24,390,243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王梓煜</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24,055,221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24,055,221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国调创新（北京）私募基金管理有限公司－国调创新私募股权投资基金（南昌）合伙企业（有限合伙）</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19,512,195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19,512,195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江苏高投毅达绿色转型产业投资基金（有限合伙）</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15,238,395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15,238,395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深圳市达晨财智创业投资管理有限公司－江西赣江新区财投晨源股权投资中心（有限合伙）</w:t>
            </w:r>
          </w:p>
        </w:tc>
        <w:tc>
          <w:tcPr>
            <w:tcW w:w="5355" w:type="dxa"/>
            <w:gridSpan w:val="5"/>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11,583,170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人民币普通股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11,583,170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前10名无限售条件股东之间，以及前10名无限售条件股东和前10名股东之间关联关系或一致行动的说明</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国家能源投资集团有限责任公司是湖北能源集团股份有限公司的股东，持股比例为3.26%。除此之外，上述股东之间未知是否存在其它关联关系或属于《上市公司收购管理办法》规定的一致行动人。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前10名普通股股东参与融资融券业务情况说明（如有）（参见注4）</w:t>
            </w:r>
          </w:p>
        </w:tc>
        <w:tc>
          <w:tcPr>
            <w:tcW w:w="7497"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股东王梓煜，通过国泰海通证券股份有限公司客户信用交易担保证券账户持有本公司股票24,055,221股。</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持股5%以上股东、前10名股东及前10名无限售流通股股东参与转融通业务出借股份情况</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前10名股东及前10名无限售流通股股东因转融通出借/归还原因导致较上期发生变化</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公司前10名普通股股东、前10名无限售条件普通股股东在报告期内是否进行约定购回交易</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公司前10名普通股股东、前10名无限售条件普通股股东在报告期内未进行约定购回交易。</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80" w:name="_Toc988972"/>
      <w:r>
        <w:rPr>
          <w:rFonts w:hint="default" w:ascii="Times New Roman" w:hAnsi="Times New Roman" w:eastAsia="宋体" w:cs="Times New Roman"/>
          <w:b/>
          <w:bCs/>
          <w:color w:val="auto"/>
          <w:sz w:val="24"/>
          <w:szCs w:val="24"/>
          <w:highlight w:val="none"/>
        </w:rPr>
        <w:t>四、董事、监事和高级管理人员持股变动</w:t>
      </w:r>
      <w:bookmarkEnd w:id="80"/>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公司董事、监事和高级管理人员在报告期持股情况没有发生变动，具体可参见2024年年报。</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81" w:name="_Toc988973"/>
      <w:r>
        <w:rPr>
          <w:rFonts w:hint="default" w:ascii="Times New Roman" w:hAnsi="Times New Roman" w:eastAsia="宋体" w:cs="Times New Roman"/>
          <w:b/>
          <w:bCs/>
          <w:color w:val="auto"/>
          <w:sz w:val="24"/>
          <w:szCs w:val="24"/>
          <w:highlight w:val="none"/>
        </w:rPr>
        <w:t>五、控股股东或实际控制人变更情况</w:t>
      </w:r>
      <w:bookmarkEnd w:id="81"/>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控股股东报告期内变更</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公司报告期控股股东未发生变更。</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实际控制人报告期内变更</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公司报告期实际控制人未发生变更。</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bookmarkStart w:id="82" w:name="_Toc988974"/>
      <w:r>
        <w:rPr>
          <w:rFonts w:hint="default" w:ascii="Times New Roman" w:hAnsi="Times New Roman" w:eastAsia="宋体" w:cs="Times New Roman"/>
          <w:b/>
          <w:bCs/>
          <w:color w:val="auto"/>
          <w:sz w:val="24"/>
          <w:szCs w:val="24"/>
          <w:highlight w:val="none"/>
        </w:rPr>
        <w:t>六、优先股相关情况</w:t>
      </w:r>
      <w:bookmarkEnd w:id="82"/>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不适用</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报告期公司不存在优先股。</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bookmarkStart w:id="83" w:name="_Toc988975"/>
      <w:r>
        <w:rPr>
          <w:rFonts w:hint="default" w:ascii="Times New Roman" w:hAnsi="Times New Roman" w:eastAsia="宋体" w:cs="Times New Roman"/>
          <w:b/>
          <w:bCs/>
          <w:color w:val="auto"/>
          <w:sz w:val="32"/>
          <w:szCs w:val="32"/>
          <w:highlight w:val="none"/>
        </w:rPr>
        <w:t>第七节 债券相关情况</w:t>
      </w:r>
      <w:bookmarkEnd w:id="83"/>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不适用</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bookmarkStart w:id="84" w:name="_Toc988976"/>
      <w:r>
        <w:rPr>
          <w:rFonts w:hint="default" w:ascii="Times New Roman" w:hAnsi="Times New Roman" w:eastAsia="宋体" w:cs="Times New Roman"/>
          <w:b/>
          <w:bCs/>
          <w:color w:val="auto"/>
          <w:sz w:val="32"/>
          <w:szCs w:val="32"/>
          <w:highlight w:val="none"/>
        </w:rPr>
        <w:t>第八节 财务报告</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一、审计报告</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半年度报告是否经过审计</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公司半年度财务报告未经审计。</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二、财务报表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财务附注中报表的单位为：元</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1、合并资产负债表</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编制单位：国家能源集团长源电力股份有限公司</w:t>
      </w:r>
    </w:p>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2025年06月30日</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274,857,212.37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230,454,402.74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1,470,393,023.77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2,296,333,914.79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614,572,853.47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465,169,850.02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15,427,538.29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16,674,148.80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1,149,035.10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726,330,739.29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953,381,654.15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940,312,007.22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775,140,549.84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4,060,138,697.02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4,761,764,380.22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297,613,802.12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303,407,901.00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125,497,161.77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128,422,232.66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27,785,878,929.81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27,369,245,057.35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4,787,715,573.31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3,908,071,475.49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657,265,326.31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672,420,637.46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807,633,101.62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818,504,054.87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838,524,950.63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838,524,950.63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55,525,397.44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57,682,359.34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105,103,858.99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96,050,864.65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633,429,530.08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1,360,940,103.06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36,141,622,049.70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35,600,704,054.13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40,201,760,746.72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40,362,468,434.35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4,407,006,373.33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4,230,984,364.79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224,005,324.73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294,067,786.65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1,905,748,564.95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2,204,215,636.97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9,358,588.26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12,294,033.08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69,338,872.24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47,011,110.83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110,617,778.91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110,893,678.75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166,282,320.80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273,993,997.20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634,480,702.69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672,888,144.66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351,162.29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351,162.29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2,740,411,606.45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2,025,632,683.76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6,640,922.46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4,432,025.33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10,273,891,054.82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9,876,413,462.02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14,980,709,704.58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15,734,134,094.10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579,910,330.21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570,860,301.55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7,911,768.42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7,911,768.42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211,541,398.92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193,240,838.73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26,275,037.54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16,428,516.49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15,806,348,239.67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16,522,575,519.29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26,080,239,294.49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26,398,988,981.31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5,505,267,194.24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5,505,267,194.24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-25,069,324.06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-25,069,324.06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173,484,860.33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105,607,269.62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4,380,233,181.84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4,285,411,105.51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13,770,142,472.36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13,607,442,805.32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351,378,979.87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356,036,647.72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14,121,521,452.23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13,963,479,453.04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40,201,760,746.72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40,362,468,434.35</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法定代表人：王冬    主管会计工作负责人：朱虹      会计机构负责人：夏正茂</w:t>
      </w:r>
    </w:p>
    <w:p>
      <w:pPr>
        <w:keepNext/>
        <w:keepLines/>
        <w:spacing w:before="300" w:after="300" w:line="320" w:lineRule="exact"/>
        <w:jc w:val="left"/>
        <w:outlineLvl w:val="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2、母公司资产负债表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115,271,261.76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132,474,770.54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2,104,567.57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2,399,091.97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2,501,040,099.96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2,366,134,671.32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124.88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1,847,140.74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19,518,811.95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2,635,018,082.04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2,523,293,938.32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13,124,532,694.55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12,715,164,894.33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325,958.45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337,245.32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826,682,589.67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843,429,100.52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24,136,530.40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332,984,815.27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61,129,621.97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61,212,429.92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7,409,106.45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7,897,733.87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223,096.61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264,927.23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923,006.12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923,006.12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150,309.99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14,092,947,331.83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14,010,438,570.20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16,727,965,413.87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16,533,732,508.52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1,501,204,938.97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1,501,205,763.82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13,527,268.90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15,590,662.74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9,873,564.11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10,353,593.73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7,542,269.97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7,510,361.64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838,946,950.88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584,485,222.84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1,328,851,352.48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25,684,457.68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3,699,946,345.31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2,144,830,062.45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1,682,671,710.56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3,090,495,463.42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58,889,495.20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60,797,121.63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1,741,561,205.76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3,151,292,585.05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5,441,507,551.07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5,296,122,647.50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6,006,893,316.63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6,006,893,316.63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-10,645,871.87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-10,645,871.87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1,289,502.25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777,695.97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337,461,896.91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337,461,896.91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1,470,424,002.88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1,422,087,807.38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11,286,457,862.80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11,237,609,861.02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16,727,965,413.87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16,533,732,508.52</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3、合并利润表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2024年半年度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7,946,512,693.52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7,946,512,693.52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6,443,500,283.90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7,357,277,628.21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6,089,148,301.50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6,979,706,063.53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退保金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57,248,722.85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46,760,810.37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62,324,476.48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62,029,160.57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14,439,159.78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3,226,193.87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220,339,623.29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265,555,399.87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218,651,244.76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263,758,614.58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763,770.74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743,987.30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8,651,965.51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6,064,988.35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-1,769,324.40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-103,223.52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-1,769,324.40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-103,223.52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-10,255,697.13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-10,081,209.55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286,792.45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13,482,847.18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1,676,694.53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181,097,165.46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587,079,107.57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4,754,089.12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7,462,037.62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484,221.87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8,561.32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185,367,032.71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594,532,583.87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96,464,335.54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141,126,344.66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88,902,697.17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453,406,239.21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88,902,697.17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453,406,239.21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1.归属于母公司股东的净利润（净亏损以“—”号填列）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94,822,076.33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447,921,409.36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2.少数股东损益（净亏损以“—”号填列）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-5,919,379.16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5,484,829.85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88,902,697.17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453,406,239.21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94,822,076.33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447,921,409.36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-5,919,379.16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5,484,829.85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0.0272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0.1629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0.0272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0.1629</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本期发生同一控制下企业合并的，被合并方在合并前实现的净利润为：0.00元，上期被合并方实现的净利润为：0.00元。</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法定代表人：王冬    主管会计工作负责人：朱虹    会计机构负责人：夏正茂</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4、母公司利润表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2024年半年度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32,255,461.90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14,281,981.30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31,401,340.08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1,335,704.56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1,473,547.90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542,791.63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58,721,260.42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58,808,035.24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57,168,753.02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60,222,882.82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56,122,944.23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59,435,747.12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263,765.36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78,219.08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133,226.34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94,680.46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150,367,800.22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151,172,263.10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367,800.22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-8,827,736.90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260" w:firstLineChars="7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以摊余成本计量的金融资产终止确认收益（损失以“—”号填列）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-234,385.71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14,356,804.38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6,420.34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48,348,391.42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44,411,545.24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12,195.92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48,336,195.50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44,411,545.24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-99,596.19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48,336,195.50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44,511,141.43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48,336,195.50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44,511,141.43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五、其他综合收益的税后净额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48,336,195.50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44,511,141.43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七、每股收益：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5、合并现金流量表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2024年半年度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8,419,437,020.13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9,097,592,872.93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38,223,958.99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73,275,709.00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172,382,529.83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57,906,284.04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8,630,043,508.95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9,228,774,865.97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5,626,243,672.46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6,052,197,327.48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717,128,524.82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718,248,127.34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459,758,760.11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378,160,003.23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155,172,631.80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117,544,204.61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6,958,303,589.19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7,266,149,662.66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1,671,739,919.76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1,962,625,203.31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2,875,739.38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13,451,829.70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369,055,536.45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12,083,159.62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66,715,000.00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371,931,275.83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92,249,989.32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1,886,775,824.56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2,363,387,226.09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1,729,300.00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1,886,775,824.56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2,365,116,526.09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-1,514,844,548.73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-2,272,866,536.77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223,455.00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223,455.00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8,432,054,236.46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9,891,461,137.19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1,057,007.69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8,432,054,236.46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9,892,741,599.88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8,290,565,893.98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9,532,914,806.52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239,198,576.35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400,483,479.77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14,783,327.53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22,986,858.73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8,544,547,797.86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9,956,385,145.02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-112,493,561.40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-63,643,545.14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44,401,809.63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-373,884,878.60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229,684,174.16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607,016,139.51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274,085,983.79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233,131,260.91</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6、母公司现金流量表</w:t>
      </w:r>
    </w:p>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2025年半年度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2024年半年度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8,053,385.28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2,208,760.11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2,818.09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1,816,609,085.40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721,894,056.24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1,824,665,288.77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724,102,816.35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1,463,687.53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234,494.03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55,285,422.50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45,595,199.40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4,797,677.16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880,618.95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1,555,445,278.05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1,747,414,572.45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1,616,992,065.24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1,794,124,884.83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207,673,223.53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-1,070,022,068.48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361,410,692.95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18,335.00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361,410,692.95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18,335.00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18,069,391.00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3,361,549.01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409,000,000.00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188,700,000.00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427,069,391.00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192,061,549.01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-65,658,698.05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-192,043,214.01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2,380,000,000.00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4,810,000,000.00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1,057,007.69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2,380,000,000.00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4,811,057,007.69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2,486,823,752.86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3,401,999,944.00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48,298,932.61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159,087,266.84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4,096,348.79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9,658,434.32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2,539,219,034.26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3,570,745,645.16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-159,219,034.26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1,240,311,362.53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-17,204,508.78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-21,753,919.96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132,471,270.54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43,163,899.14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115,266,761.76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21,409,979.18</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7、合并所有者权益变动表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本期金额</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8439"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314"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股本</w:t>
            </w:r>
          </w:p>
        </w:tc>
        <w:tc>
          <w:tcPr>
            <w:tcW w:w="168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5,505,267,194.24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-25,069,324.06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105,607,269.62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4,285,411,105.51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13,607,442,805.32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356,036,647.72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13,963,479,453.04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5,505,267,194.24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-25,069,324.06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105,607,269.62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4,285,411,105.51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13,607,442,805.32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356,036,647.72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13,963,479,453.04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67,877,590.71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94,822,076.33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162,699,667.04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-4,657,667.85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158,041,999.19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94,822,076.33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94,822,076.33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-5,919,379.16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88,902,697.17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67,877,590.71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67,877,590.71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1,261,711.31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69,139,302.02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75,201,761.06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75,201,761.06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1,279,585.52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76,481,346.58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7,324,170.35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7,324,170.35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17,874.21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7,342,044.56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5,505,267,194.24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-25,069,324.06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173,484,860.33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4,380,233,181.84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13,770,142,472.36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351,378,979.87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14,121,521,452.23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上年金额</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563"/>
        <w:gridCol w:w="563"/>
        <w:gridCol w:w="563"/>
        <w:gridCol w:w="563"/>
        <w:gridCol w:w="563"/>
        <w:gridCol w:w="563"/>
        <w:gridCol w:w="563"/>
        <w:gridCol w:w="563"/>
        <w:gridCol w:w="563"/>
        <w:gridCol w:w="563"/>
        <w:gridCol w:w="563"/>
        <w:gridCol w:w="563"/>
        <w:gridCol w:w="563"/>
        <w:gridCol w:w="563"/>
        <w:gridCol w:w="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8439"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2024年半年度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314"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归属于母公司所有者权益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少数股东权益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股本</w:t>
            </w:r>
          </w:p>
        </w:tc>
        <w:tc>
          <w:tcPr>
            <w:tcW w:w="1688"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资本公积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减：库存股</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专项储备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盈余公积</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一般风险准备</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未分配利润</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56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小计</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优先股</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永续债</w:t>
            </w:r>
          </w:p>
        </w:tc>
        <w:tc>
          <w:tcPr>
            <w:tcW w:w="56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56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一、上年期末余额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2,749,327,699.00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3,246,922,067.44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-25,500,952.17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51,434,237.30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236,824,795.66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3,695,779,152.68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9,954,786,999.91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339,273,370.18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10,294,060,370.09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加：会计政策变更</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前期差错更正</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二、本年期初余额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2,749,327,699.00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3,246,922,067.44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-25,500,952.17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51,434,237.30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236,824,795.66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3,695,779,152.68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9,954,786,999.91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339,273,370.18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10,294,060,370.09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三、本期增减变动金额（减少以“—”号填列）</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480,075.89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56,587,922.85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340,697,637.08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397,765,635.82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7,020,879.13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404,786,514.95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（一）综合收益总额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447,921,409.36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447,921,409.36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5,484,829.85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453,406,239.21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（二）所有者投入和减少资本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223,455.00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223,455.00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1．所有者投入的普通股</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223,455.00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223,455.00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2．其他权益工具持有者投入资本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3．股份支付计入所有者权益的金额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（三）利润分配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1．提取盈余公积</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2．提取一般风险准备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3．对所有者（或股东）的分配</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（四）所有者权益内部结转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1．资本公积转增资本（或股本）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2．盈余公积转增资本（或股本）</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3．盈余公积弥补亏损</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4．设定受益计划变动额结转留存收益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5．其他综合收益结转留存收益</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（五）专项储备</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56,587,922.85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56,587,922.85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1,312,594.28</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57,900,517.13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1．本期提取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77,274,609.71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77,274,609.71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1,371,015.52</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78,645,625.23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2．本期使用</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-20,686,686.86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-20,686,686.86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-58,421.24</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-20,745,108.10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（六）其他</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480,075.89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480,075.89</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480,075.89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四、本期期末余额</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2,749,327,699.00</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3,247,402,143.33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-25,500,952.17</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108,022,160.15</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236,824,795.66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4,036,476,789.76</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10,352,552,635.73</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346,294,249.31</w:t>
            </w:r>
          </w:p>
        </w:tc>
        <w:tc>
          <w:tcPr>
            <w:tcW w:w="56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10,698,846,885.04</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8、母公司所有者权益变动表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本期金额</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84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股本</w:t>
            </w:r>
          </w:p>
        </w:tc>
        <w:tc>
          <w:tcPr>
            <w:tcW w:w="21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6,006,893,316.63</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-10,645,871.87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777,695.97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337,461,896.91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1,422,087,807.38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11,237,609,861.02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6,006,893,316.63</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-10,645,871.87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777,695.97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337,461,896.91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1,422,087,807.38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11,237,609,861.02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511,806.28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48,336,195.50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48,848,001.78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48,336,195.50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48,336,195.50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511,806.28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511,806.28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617,620.96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617,620.96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105,814.68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105,814.68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6,006,893,316.63</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-10,645,871.87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1,289,502.25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337,461,896.91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1,470,424,002.88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11,286,457,862.80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上年金额</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0"/>
        <w:gridCol w:w="703"/>
        <w:gridCol w:w="703"/>
        <w:gridCol w:w="703"/>
        <w:gridCol w:w="703"/>
        <w:gridCol w:w="703"/>
        <w:gridCol w:w="703"/>
        <w:gridCol w:w="703"/>
        <w:gridCol w:w="703"/>
        <w:gridCol w:w="703"/>
        <w:gridCol w:w="703"/>
        <w:gridCol w:w="703"/>
        <w:gridCol w:w="7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8439"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2024年半年度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股本</w:t>
            </w:r>
          </w:p>
        </w:tc>
        <w:tc>
          <w:tcPr>
            <w:tcW w:w="2110"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资本公积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减：库存股</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专项储备</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盈余公积</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未分配利润</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7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优先股</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永续债</w:t>
            </w:r>
          </w:p>
        </w:tc>
        <w:tc>
          <w:tcPr>
            <w:tcW w:w="7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70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一、上年期末余额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2,749,327,699.00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4,677,209,411.78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-11,829,173.40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134,731.71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236,824,795.66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1,089,921,852.92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8,741,589,317.67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加：会计政策变更</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前期差错更正</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二、本年期初余额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2,749,327,699.00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4,677,209,411.78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-11,829,173.40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134,731.71</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236,824,795.66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1,089,921,852.92</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8,741,589,317.67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三、本期增减变动金额（减少以“—”号填列）</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83,253.78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-62,712,630.85</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-62,629,377.07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（一）综合收益总额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44,511,141.43</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44,511,141.43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（二）所有者投入和减少资本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1．所有者投入的普通股</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2．其他权益工具持有者投入资本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3．股份支付计入所有者权益的金额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（三）利润分配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1．提取盈余公积</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2．对所有者（或股东）的分配</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（四）所有者权益内部结转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1．资本公积转增资本（或股本）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2．盈余公积转增资本（或股本）</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3．盈余公积弥补亏损</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4．设定受益计划变动额结转留存收益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5．其他综合收益结转留存收益</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（五）专项储备</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83,253.78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83,253.78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1．本期提取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83,253.78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83,253.78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2．本期使用</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（六）其他</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四、本期期末余额</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2,749,327,699.00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4,677,209,411.78</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-11,829,173.40</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217,985.49</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236,824,795.66</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1,027,209,222.07</w:t>
            </w: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8,678,959,940.60</w:t>
            </w:r>
          </w:p>
        </w:tc>
      </w:tr>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三、公司基本情况</w:t>
      </w:r>
    </w:p>
    <w:p>
      <w:pPr>
        <w:pStyle w:val="4"/>
        <w:keepNext w:val="0"/>
        <w:keepLines w:val="0"/>
        <w:widowControl/>
        <w:suppressLineNumbers w:val="0"/>
        <w:spacing w:before="100" w:beforeAutospacing="0" w:after="100" w:afterAutospacing="0" w:line="32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国家能源集团长源电力股份有限公司是经湖北省体改委鄂改生（1995）12号文批准，由湖北省电力公司、湖北省电力开发公司、华中电力开发公司、东风汽车公司、中国建设银行湖北省分行直属支行、中国工商银行湖北省分行直属支行、华中电力集团财务有限责任公司等七家大型国有企业于1995年4月7日共同发起设立的股份有限公司。公司的统一社会信用代码：91420000177597420R。2000年3月16日在深圳证券交易所挂牌上市交易，所属行业为电力、热力生产和供应业类，截至2025年6月30日止，本公司累计发行股本总数348,103.5016万股，注册资本为348,103.5016万元，注册地为湖北省武汉市洪山区徐东大街63号国家能源大厦，总部地址位于中华人民共和国湖北省武汉市。本公司主要经营范围：发电、输电、供电业务；煤炭开采；保险代理业务：热力生产和供应；新兴能源技术研发；基础化学原料制造（不含危险化学品等许可类化学品的制造）；水泥制品制造；常用有色金属冶炼；煤炭及制品销售；电子专用设备制造；黑色金属铸造；汽车零配件零售；五金产品制造；五金产品零售；机械零件、零部件销售；日用百货销售；劳动保护用品销售；家用纺织制成品制造；建筑材料销售；轻质建筑材料制造（除许可业务外，可自主依法经营法律法规非禁止或限制的项目）</w:t>
      </w:r>
      <w:r>
        <w:rPr>
          <w:rFonts w:hint="default" w:ascii="Times New Roman" w:hAnsi="Times New Roman" w:eastAsia="微软雅黑" w:cs="Times New Roman"/>
          <w:color w:val="auto"/>
          <w:sz w:val="21"/>
          <w:szCs w:val="21"/>
          <w:highlight w:val="none"/>
          <w:shd w:val="clear" w:fill="FFFFFF"/>
        </w:rPr>
        <w:t>。</w:t>
      </w:r>
    </w:p>
    <w:p>
      <w:pPr>
        <w:pStyle w:val="4"/>
        <w:keepNext w:val="0"/>
        <w:keepLines w:val="0"/>
        <w:widowControl/>
        <w:suppressLineNumbers w:val="0"/>
        <w:spacing w:before="100" w:beforeAutospacing="0" w:after="100" w:afterAutospacing="0" w:line="32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本公司的母公司为国家能源投资集团有限责任公司，本公司的实际控制人为国务院国有资产监督管理委员会。</w:t>
      </w:r>
    </w:p>
    <w:p>
      <w:pPr>
        <w:pStyle w:val="4"/>
        <w:keepNext w:val="0"/>
        <w:keepLines w:val="0"/>
        <w:widowControl/>
        <w:suppressLineNumbers w:val="0"/>
        <w:spacing w:before="100" w:beforeAutospacing="0" w:after="100" w:afterAutospacing="0" w:line="32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本财务报表经公司董事会于2025年8月2</w:t>
      </w:r>
      <w:r>
        <w:rPr>
          <w:rFonts w:hint="default"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日批准报出。</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四、财务报表的编制基础</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1、编制基础</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本财务报表按照财政部颁布的《企业会计准则——基本准则》和各项具体会计准则、企业会计准则应用指南、企业会计准则解释及其他相关规定（以下合称“企业会计准则”），以及中国证券监督管理委员会《公开发行证券的公司信息披露编报规则第15 号——财务报告的一般规定》的相关规定编制。</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2、持续经营</w:t>
      </w:r>
    </w:p>
    <w:p>
      <w:pPr>
        <w:pStyle w:val="4"/>
        <w:keepNext w:val="0"/>
        <w:keepLines w:val="0"/>
        <w:widowControl/>
        <w:suppressLineNumbers w:val="0"/>
        <w:spacing w:line="32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本财务报表以持续经营为基础编制。</w:t>
      </w:r>
    </w:p>
    <w:p>
      <w:pPr>
        <w:keepNext/>
        <w:keepLines/>
        <w:spacing w:before="300" w:after="300" w:line="56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五、重要会计政策及会计估计</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具体会计政策和会计估计提示：</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1、遵循企业会计准则的声明</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本财务报表符合财政部颁布的企业会计准则的要求，真实、完整地反映了本公司2025年6月30日的合并及母公司财务状况以及2025年上半年度的合并及母公司经营成果和现金流量。</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2、会计期间</w:t>
      </w:r>
    </w:p>
    <w:p>
      <w:pPr>
        <w:pStyle w:val="4"/>
        <w:keepNext w:val="0"/>
        <w:keepLines w:val="0"/>
        <w:widowControl/>
        <w:suppressLineNumbers w:val="0"/>
        <w:jc w:val="both"/>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自公历1月1日起至12月31日止为一个会计年度。</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3、营业周期</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本公司营业周期为12个月。</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4、记账本位币</w:t>
      </w:r>
    </w:p>
    <w:p>
      <w:pPr>
        <w:pStyle w:val="4"/>
        <w:keepNext w:val="0"/>
        <w:keepLines w:val="0"/>
        <w:widowControl/>
        <w:suppressLineNumbers w:val="0"/>
        <w:spacing w:before="0" w:beforeAutospacing="0" w:after="0" w:afterAutospacing="0" w:line="400" w:lineRule="atLeast"/>
        <w:ind w:left="0" w:right="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本公司采用人民币为记账本位币。</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5、重要性标准确定方法和选择依据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重要性标准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重要的单项计提坏账准备的应收款项</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人民币2000万元以上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重要的在建工程</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项目总投资额超过人民币1.5亿元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重要的应付账款</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单笔应付款项金额超过人民币2000万元的认定为重要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重大资产减值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资产总额的0.2%或营业收入的0.3%，一般选择按资产总额和营业收入为基准计算结果的孰低原则确定</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6、同一控制下和非同一控制下企业合并的会计处理方法</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同一控制下企业合并：合并方在企业合并中取得的资产和负债（包括最终控制方收购被合并方而形成的商誉），按照合并日被合并方资产、负债在最终控制方合并财务报表中的账面价值为基础计量。在合并中取得的净资产账面价值与支付的合并对价账面价值（或发行股份面值总额）的差额，调整资本公积中的股本溢价，资本公积中的股本溢价不足冲减的，调整留存收益。</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非同一控制下企业合并：合并成本为购买方在购买日为取得被购买方的控制权而付出的资产、发生或承担的负债以及发行的权益性证券的公允价值。合并成本大于合并中取得的被购买方可辨认净资产公允价值份额的差额，确认为商誉；合并成本小于合并中取得的被购买方可辨认净资产公允价值份额的差额，计入当期损益。在合并中取得的被购买方符合确认条件的各项可辨认资产、负债及或有负债在购买日按公允价值计量。</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（3）为企业合并发生的直接相关费用于发生时计入当期损益；为企业合并而发行权益性证券或债务性证券的交易费用，计入权益性证券或债务性证券的初始确认金额。</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7、控制的判断标准和合并财务报表的编制方法</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（1）控制的判断标准</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合并财务报表的合并范围以控制为基础予以确定。控制，是指公司拥有对被投资方的权力，通过参与被投资方的相关活动而享有可变回报，并且有能力运用对被投资方的权力影响其回报金额。合并范围包括本公司及全部子公司。</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（2）合并财务报表编制的方法</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将整个企业集团视为一个会计主体，按照统一的会计政策编制合并财务报表，反映本企业集团整体财务状况、经营成果和现金流量。本公司与子公司、子公司相互之间发生的内部交易的影响予以抵销。内部交易表明相关资产发生减值损失的，全额确认该部分损失。如子公司采用的会计政策、会计期间与本公司不一致的，在编制合并财务报表时，按本公司的会计政策、会计期间进行必要的调整。 </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1）增加子公司或业务</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报告期内，因同一控制下企业合并增加子公司或业务的，将子公司或业务合并当期期初至报告期末的经营成果和现金流量纳入合并财务报表，同时对合并财务报表的期初数和比较报表的相关项目进行调整，视同合并后的报告主体自最终控制方开始控制时点起一直存在。</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因追加投资等原因能够对同一控制下的被投资方实施控制的，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在报告期内，因非同一控制下企业合并增加子公司或业务的，以购买日确定的各项可辨认资产、负债及或有负债的公允价值为基础自购买日起纳入合并财务报表。</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因追加投资等原因能够对非同一控制下的被投资方实施控制的，对于购买日之前持有的被购买方的股权，按照该股权在购买日的公允价值进行重新计量，公允价值与其账面价值的差额计入当期投资收益。购买日之前持有的被购买方的股权涉及的以后可重分类进损益的其他综合收益、权益法核算下的其他所有者权益变动转为购买日所属当期投资收益。  </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2）处置子公司</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①一般处理方法</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因处置部分股权投资或其他原因丧失了对被投资方控制权时，对于处置后的剩余股权投资，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以后可重分类进损益的其他综合收益、权益法核算下的其他所有者权益变动，在丧失控制权时转为当期投资收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②分步处置子公司</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通过多次交易分步处置对子公司股权投资直至丧失控制权的，处置对子公司股权投资的各项交易的条款、条件以及经济影响符合以下一种或多种情况，通常表明该多次交易事项为一揽子交易：</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ⅰ．这些交易是同时或者在考虑了彼此影响的情况下订立的；</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ⅱ．这些交易整体才能达成一项完整的商业结果；</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ⅲ．一项交易的发生取决于其他至少一项交易的发生；</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ⅳ．一项交易单独看是不经济的，但是和其他交易一并考虑时是经济的。</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各项交易不属于一揽子交易的，在丧失控制权之前，按不丧失控制权的情况下部分处置对子公司的股权投资进行会计处理；在丧失控制权时，按处置子公司一般处理方法进行会计处理。</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3）购买子公司少数股权</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4）不丧失控制权的情况下部分处置对子公司的股权投资</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处置价款与处置长期股权投资相对应享有子公司自购买日或合并日开始持续计算的净资产份额之间的差额，调整合并资产负债表中的资本公积中的股本溢价，资本公积中的股本溢价不足冲减的，调整留存收益。</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8、合营安排分类及共同经营会计处理方法</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合营安排分为共同经营和合营企业。</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共同经营，是指合营方享有该安排相关资产且承担该安排相关负债的合营安排。</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本公司确认与共同经营中利益份额相关的下列项目：</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（1）确认本公司单独所持有的资产，以及按本公司份额确认共同持有的资产；</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（2）确认本公司单独所承担的负债，以及按本公司份额确认共同承担的负债；</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（3）确认出售本公司享有的共同经营产出份额所产生的收入；</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（4）按本公司份额确认共同经营因出售产出所产生的收入；</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（5）确认单独所发生的费用，以及按本公司份额确认共同经营发生的费用。</w:t>
      </w:r>
    </w:p>
    <w:p>
      <w:pPr>
        <w:pStyle w:val="4"/>
        <w:keepNext w:val="0"/>
        <w:keepLines w:val="0"/>
        <w:widowControl/>
        <w:suppressLineNumbers w:val="0"/>
        <w:spacing w:before="100" w:beforeAutospacing="0" w:after="100" w:afterAutospacing="0"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本公司对合营企业的投资采用权益法核算，详见本附注“七、18、长期股权投资”。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9、现金及现金等价物的确定标准</w:t>
      </w:r>
    </w:p>
    <w:p>
      <w:pPr>
        <w:pStyle w:val="4"/>
        <w:keepNext w:val="0"/>
        <w:keepLines w:val="0"/>
        <w:widowControl/>
        <w:suppressLineNumbers w:val="0"/>
        <w:spacing w:line="32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现金，是指本公司的库存现金以及可以随时用于支付的存款。现金等价物，是指本公司持有的期限短、流动性强、易于转换为已知金额的现金、价值变动风险很小的投资。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10、外币业务和外币报表折算</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（1）外币业务</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外币业务采用交易发生日的即期汇率（通常指中国人民银行公布的当日外汇牌价的中间价，下同）作为折算汇率将外币金额折合成人民币记账。</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资产负债表日外币货币性项目余额按资产负债表日即期汇率折算，由此产生的汇兑差额，除属于与购建符合资本化条件的资产相关的外币专门借款产生的汇兑差额按照借款费用资本化的原则处理外，均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（2）外币报表折算</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资产负债表中的资产和负债项目，采用资产负债表日的即期汇率折算；所有者权益项目除“未分配利润”项目外，其他项目采用发生时的即期汇率折算。利润表中的收入和费用项目，采用交易发生日的即期汇率折算。</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处置境外经营时，将与该境外经营相关的外币财务报表折算差额，自所有者权益项目转入处置当期损益。</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11、金融工具</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本公司在成为金融工具合同的一方时，确认一项金融资产、金融负债或权益工具。</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（1）金融工具的分类</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根据本公司管理金融资产的业务模式和金融资产的合同现金流量特征，金融资产于初始确认时分类为：以摊余成本计量的金融资产、以公允价值计量且其变动计入其他综合收益的金融资产和以公允价值计量且其变动计入当期损益的金融资产。</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本公司将同时符合下列条件且未被指定为以公允价值计量且其变动计入当期损益的金融资产，分类为以摊余成本计量的金融资产：</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业务模式是以收取合同现金流量为目标；</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合同现金流量仅为对本金和以未偿付本金金额为基础的利息的支付。</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本公司将同时符合下列条件且未被指定为以公允价值计量且其变动计入当期损益的金融资产，分类为以公允价值计量且其变动计入其他综合收益的金融资产（债务工具）：</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业务模式既以收取合同现金流量又以出售该金融资产为目标；</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合同现金流量仅为对本金和以未偿付本金金额为基础的利息的支付。</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非交易性权益工具投资，本公司可以在初始确认时将其不可撤销地指定为以公允价值计量且其变动计入其他综合收益的金融资产（权益工具）。该指定在单项投资的基础上作出，且相关投资从发行者的角度符合权益工具的定义。</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除上述以摊余成本计量和以公允价值计量且其变动计入其他综合收益的金融资产外，本公司将其余所有的金融资产分类为以公允价值计量且其变动计入当期损益的金融资产。在初始确认时，如果能够消除或显著减少会计错配，本公司可以将本应分类为摊余成本计量或以公允价值计量且其变动计入其他综合收益的金融资产不可撤销地指定为以公允价值计量且其变动计入当期损益的金融资产。  </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金融负债于初始确认时分类为：以公允价值计量且其变动计入当期损益的金融负债和以摊余成本计量的金融负债。</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符合以下条件之一的金融负债可在初始计量时指定为以公允价值计量且其变动计入当期损益的金融负债：</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1）该项指定能够消除或显著减少会计错配。</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2）根据正式书面文件载明的企业风险管理或投资策略，以公允价值为基础对金融负债组合或金融资产和金融负债组合进行管理和业绩评价，并在企业内部以此为基础向关键管理人员报告。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3）该金融负债包含需单独分拆的嵌入衍生工具。</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（2）金融工具的确认依据和计量方法</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1）以摊余成本计量的金融资产</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摊余成本计量的金融资产包括应收票据、应收账款、其他应收款、长期应收款、债权投资等，按公允价值进行初始计量，相关交易费用计入初始确认金额；不包含重大融资成分的应收账款以及本公司决定不考虑不超过一年的融资成分的应收账款，以合同交易价格进行初始计量。</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持有期间采用实际利率法计算的利息计入当期损益。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收回或处置时，将取得的价款与该金融资产账面价值之间的差额计入当期损益。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2）以公允价值计量且其变动计入其他综合收益的金融资产（债务工具）</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公允价值计量且其变动计入其他综合收益的金融资产（债务工具）包括应收款项融资、其他债权投资等，按公允价值进行初始计量，相关交易费用计入初始确认金额。该金融资产按公允价值进行后续计量，公允价值变动除采用实际利率法计算的利息、减值损失或利得和汇兑损益之外，均计入其他综合收益。   </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终止确认时，之前计入其他综合收益的累计利得或损失从其他综合收益中转出，计入当期损益。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3）以公允价值计量且其变动计入其他综合收益的金融资产（权益工具）</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公允价值计量且其变动计入其他综合收益的金融资产（权益工具）包括其他权益工具投资等，按公允价值进行初始计量，相关交易费用计入初始确认金额。该金融资产按公允价值进行后续计量，公允价值变动计入其他综合收益。取得的股利计入当期损益。  </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终止确认时，之前计入其他综合收益的累计利得或损失从其他综合收益中转出，计入留存收益。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4）以公允价值计量且其变动计入当期损益的金融资产</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公允价值计量且其变动计入当期损益的金融资产包括交易性金融资产、衍生金融资产、其他非流动金融资产等，按公允价值进行初始计量，相关交易费用计入当期损益。该金融资产按公允价值进行后续计量，公允价值变动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5）以公允价值计量且其变动计入当期损益的金融负债</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公允价值计量且其变动计入当期损益的金融负债包括交易性金融负债、衍生金融负债等，按公允价值进行初始计量，相关交易费用计入当期损益。该金融负债按公允价值进行后续计量，公允价值变动计入当期损益。   </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终止确认时，其账面价值与支付的对价之间的差额计入当期损益。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6）以摊余成本计量的金融负债</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以摊余成本计量的金融负债包括短期借款、应付票据、应付账款、其他应付款、长期借款、应付债券、长期应付款，按公允价值进行初始计量，相关交易费用计入初始确认金额。  </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持有期间采用实际利率法计算的利息计入当期损益。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终止确认时，将支付的对价与该金融负债账面价值之间的差额计入当期损益。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（3）金融资产终止确认和金融资产转移</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满足下列条件之一时，本公司终止确认金融资产：</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收取金融资产现金流量的合同权利终止；</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金融资产已转移，且已将金融资产所有权上几乎所有的风险和报酬转移给转入方；</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金融资产已转移，虽然本公司既没有转移也没有保留金融资产所有权上几乎所有的风险和报酬，但是未保留对金融资产的控制。</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发生金融资产转移时，如保留了金融资产所有权上几乎所有的风险和报酬的，则不终止确认该金融资产。</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在判断金融资产转移是否满足上述金融资产终止确认条件时，采用实质重于形式的原则。</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公司将金融资产转移区分为金融资产整体转移和部分转移。金融资产整体转移满足终止确认条件的，将下列两项金额的差额计入当期损益：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1）所转移金融资产的账面价值；</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2）因转移而收到的对价，与原直接计入所有者权益的公允价值变动累计额（涉及转移的金融资产为以公允价值计量且其变动计入其他综合收益的金融资产（债务工具）的情形）之和。</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金融资产部分转移满足终止确认条件的，将所转移金融资产整体的账面价值，在终止确认部分和未终止确认部分之间，按照各自的相对公允价值进行分摊，并将下列两项金额的差额计入当期损益：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1）终止确认部分的账面价值；</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2）终止确认部分的对价，与原直接计入所有者权益的公允价值变动累计额中对应终止确认部分的金额（涉及转移的金融资产为以公允价值计量且其变动计入其他综合收益的金融资产（债务工具）的情形）之和。</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金融资产转移不满足终止确认条件的，继续确认该金融资产，所收到的对价确认为一项金融负债。</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（4）金融负债终止确认</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金融负债的现时义务全部或部分已经解除的，则终止确认该金融负债或其一部分；本公司若与债权人签定协议，以承担新金融负债方式替换现存金融负债，且新金融负债与现存金融负债的合同条款实质上不同的，则终止确认现存金融负债，并同时确认新金融负债。</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对现存金融负债全部或部分合同条款作出实质性修改的，则终止确认现存金融负债或其一部分，同时将修改条款后的金融负债确认为一项新金融负债。</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金融负债全部或部分终止确认时，终止确认的金融负债账面价值与支付对价（包括转出的非现金资产或承担的新金融负债）之间的差额，计入当期损益。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若回购部分金融负债的，在回购日按照继续确认部分与终止确认部分的相对公允价值，将该金融负债整体的账面价值进行分配。分配给终止确认部分的账面价值与支付的对价（包括转出的非现金资产或承担的新金融负债）之间的差额，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（5）金融资产和金融负债的公允价值的确定方法</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（6）金融资产减值的测试方法及会计处理方法</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本公司以单项或组合的方式对以摊余成本计量的金融资产、以公允价值计量且其变动计入其他综合收益的金融资产（债务工具）和财务担保合同等的预期信用损失进行估计。</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如果该金融工具的信用风险自初始确认后已显著增加，本公司按照相当于该金融工具整个存续期内预期信用损失的金额计量其损失准备；如果该金融工具的信用风险自初始确认后并未显著增加，本公司按照相当于该金融工具未来12个月内预期信用损失的金额计量其损失准备。由此形成的损失准备的增加或转回金额，作为减值损失或利得计入当期损益。</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通过比较金融工具在资产负债表日发生违约的风险与在初始确认日发生违约的风险，以确定金融工具预计存续期内发生违约风险的相对变化，以评估金融工具的信用风险自初始确认后是否已显著增加。通常逾期超过30日，本公司即认为该金融工具的信用风险已显著增加，除非有确凿证据证明该金融工具的信用风险自初始确认后并未显著增加。</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如果金融工具于资产负债表日的信用风险较低，本公司即认为该金融工具的信用风险自初始确认后并未显著增加。</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如果有客观证据表明某项金融资产已经发生信用减值，则本公司在单项基础上对该金融资产计提减值准备。</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对于由《企业会计准则第14号——收入》(2017)规范的交易形成的应收款项和合同资产，无论是否包含重大融资成分，本公司始终按照相当于整个存续期内预期信用损失的金额计量其损失准备。</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对于租赁应收款，本公司选择始终按照相当于整个存续期内预期信用损失的金额计量其损失准备。</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本公司各类金融资产信用损失的确定方法见第十节五11-16。</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本公司不再合理预期金融资产合同现金流量能够全部或部分收回的，直接减记该金融资产的账面余额。</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12、应收票据</w:t>
      </w:r>
    </w:p>
    <w:p>
      <w:pPr>
        <w:pStyle w:val="4"/>
        <w:keepNext w:val="0"/>
        <w:keepLines w:val="0"/>
        <w:widowControl/>
        <w:suppressLineNumbers w:val="0"/>
        <w:spacing w:before="100" w:beforeAutospacing="0" w:after="100" w:afterAutospacing="0" w:line="320" w:lineRule="atLeast"/>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本公司对于应收票据按照相当于整个存续期内的预期信用损失金额计量损失准备。基于应收票据的信用风险特征，将其划分为不同组合:</w:t>
      </w:r>
    </w:p>
    <w:tbl>
      <w:tblPr>
        <w:tblStyle w:val="5"/>
        <w:tblW w:w="455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11"/>
        <w:gridCol w:w="62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3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组合名称</w:t>
            </w:r>
          </w:p>
        </w:tc>
        <w:tc>
          <w:tcPr>
            <w:tcW w:w="54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spacing w:line="36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确定组合依据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3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6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银行承兑汇票</w:t>
            </w:r>
          </w:p>
        </w:tc>
        <w:tc>
          <w:tcPr>
            <w:tcW w:w="54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6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承兑人为信用风险较小的银行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3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6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商业承兑汇票</w:t>
            </w:r>
          </w:p>
        </w:tc>
        <w:tc>
          <w:tcPr>
            <w:tcW w:w="54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36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根据承兑人的信用风险划分，与</w:t>
            </w:r>
            <w:r>
              <w:rPr>
                <w:rFonts w:hint="default"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应收账款</w:t>
            </w:r>
            <w:r>
              <w:rPr>
                <w:rFonts w:hint="default"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组合划分相同</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13、应收账款</w:t>
      </w:r>
    </w:p>
    <w:p>
      <w:pPr>
        <w:pStyle w:val="4"/>
        <w:keepNext w:val="0"/>
        <w:keepLines w:val="0"/>
        <w:widowControl/>
        <w:suppressLineNumbers w:val="0"/>
        <w:spacing w:before="100" w:beforeAutospacing="0" w:after="100" w:afterAutospacing="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对于不含重大融资成分的应收账款和合同资产,本集团按照相当于整个存续期内的预期信用损失金额计量损失准备。</w:t>
      </w:r>
    </w:p>
    <w:p>
      <w:pPr>
        <w:pStyle w:val="4"/>
        <w:keepNext w:val="0"/>
        <w:keepLines w:val="0"/>
        <w:widowControl/>
        <w:suppressLineNumbers w:val="0"/>
        <w:spacing w:before="100" w:beforeAutospacing="0" w:after="100" w:afterAutospacing="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对于包含重大融资成分的应收账款、合同资产和租赁应收款，本集团选择始终按照相当于存续期内预期信用损失的金额计量损失准备。</w:t>
      </w:r>
    </w:p>
    <w:p>
      <w:pPr>
        <w:pStyle w:val="4"/>
        <w:keepNext w:val="0"/>
        <w:keepLines w:val="0"/>
        <w:widowControl/>
        <w:suppressLineNumbers w:val="0"/>
        <w:spacing w:before="100" w:beforeAutospacing="0" w:after="100" w:afterAutospacing="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除了单项评估信用风险的应收账款外，基于其信用风险特征，将其划分为不同组合:</w:t>
      </w:r>
    </w:p>
    <w:tbl>
      <w:tblPr>
        <w:tblStyle w:val="5"/>
        <w:tblW w:w="50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614"/>
        <w:gridCol w:w="4431"/>
        <w:gridCol w:w="38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5" w:hRule="atLeast"/>
          <w:jc w:val="center"/>
        </w:trPr>
        <w:tc>
          <w:tcPr>
            <w:tcW w:w="81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组合名称</w:t>
            </w:r>
          </w:p>
        </w:tc>
        <w:tc>
          <w:tcPr>
            <w:tcW w:w="224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确定组合依据</w:t>
            </w:r>
          </w:p>
        </w:tc>
        <w:tc>
          <w:tcPr>
            <w:tcW w:w="193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坏账准备计提的方法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1270" w:hRule="atLeast"/>
          <w:jc w:val="center"/>
        </w:trPr>
        <w:tc>
          <w:tcPr>
            <w:tcW w:w="81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应收国家电网公司电费</w:t>
            </w:r>
          </w:p>
        </w:tc>
        <w:tc>
          <w:tcPr>
            <w:tcW w:w="224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应收电网公司电费，包括应收新能源电费补贴部分，但不包括直供电等应收非电网公司电费。</w:t>
            </w:r>
          </w:p>
        </w:tc>
        <w:tc>
          <w:tcPr>
            <w:tcW w:w="19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原则上对账龄在六个月（含六个月）以内应收电网公司电费不计提坏账准备；账龄超过六个月的应收电网公司电费参考</w:t>
            </w:r>
            <w:r>
              <w:rPr>
                <w:rFonts w:hint="default"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其他款项</w:t>
            </w:r>
            <w:r>
              <w:rPr>
                <w:rFonts w:hint="default"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的计提方法计提坏账准备。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1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无回收风险应收款项</w:t>
            </w:r>
          </w:p>
        </w:tc>
        <w:tc>
          <w:tcPr>
            <w:tcW w:w="224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预计未来现金流不低于账面价值的应收款项，如：</w:t>
            </w:r>
          </w:p>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rPr>
              <w:t>1</w:t>
            </w:r>
            <w:r>
              <w:rPr>
                <w:rFonts w:hint="default" w:ascii="Times New Roman" w:hAnsi="Times New Roman" w:eastAsia="宋体" w:cs="Times New Roman"/>
                <w:color w:val="auto"/>
                <w:sz w:val="18"/>
                <w:szCs w:val="18"/>
                <w:highlight w:val="none"/>
              </w:rPr>
              <w:t>）无回收风险的备用金、押金、保证金等应收款项；</w:t>
            </w:r>
          </w:p>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rPr>
              <w:t>2</w:t>
            </w:r>
            <w:r>
              <w:rPr>
                <w:rFonts w:hint="default" w:ascii="Times New Roman" w:hAnsi="Times New Roman" w:eastAsia="宋体" w:cs="Times New Roman"/>
                <w:color w:val="auto"/>
                <w:sz w:val="18"/>
                <w:szCs w:val="18"/>
                <w:highlight w:val="none"/>
              </w:rPr>
              <w:t>）应收国家能源集团合并范围内单位的关联方款项，但存在明显减值迹象（如已经进入破产清算阶段、严重资不抵债等）除外；</w:t>
            </w:r>
          </w:p>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rPr>
              <w:t>3</w:t>
            </w:r>
            <w:r>
              <w:rPr>
                <w:rFonts w:hint="default" w:ascii="Times New Roman" w:hAnsi="Times New Roman" w:eastAsia="宋体" w:cs="Times New Roman"/>
                <w:color w:val="auto"/>
                <w:sz w:val="18"/>
                <w:szCs w:val="18"/>
                <w:highlight w:val="none"/>
              </w:rPr>
              <w:t>）其他未发生减值的应收款项。</w:t>
            </w:r>
          </w:p>
        </w:tc>
        <w:tc>
          <w:tcPr>
            <w:tcW w:w="19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不计提坏账准备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1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其他款项</w:t>
            </w:r>
          </w:p>
        </w:tc>
        <w:tc>
          <w:tcPr>
            <w:tcW w:w="224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除上述款项外的其他款项</w:t>
            </w:r>
          </w:p>
        </w:tc>
        <w:tc>
          <w:tcPr>
            <w:tcW w:w="193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24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公司参考历史信用损失经验，结合当前状况以及对未来经济状况的预测，通过违约风险敞口和整个存续期预期信用损失率，同时综合考虑账龄因素计算预期信用损失。</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14、应收款项融资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15、其他应收款</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其他应收款的预期信用损失的确定方法及会计处理方法</w:t>
      </w:r>
    </w:p>
    <w:p>
      <w:pPr>
        <w:pStyle w:val="4"/>
        <w:keepNext w:val="0"/>
        <w:keepLines w:val="0"/>
        <w:widowControl/>
        <w:suppressLineNumbers w:val="0"/>
        <w:spacing w:line="30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依据其他应收款信用风险自初始确认后是否已经显著增加，采用相当于未来12个月内、或整个存续期的预期信用损失的金额计量减值损失。除了单项评估信用风险的其他应收款外，基于其信用风险特征，将其划分为不同组合，包括无回收风险款项及其他款项组合。对不同的组合公司参考历史信用损失经验，结合当前状况以及对未来经济状况的预测，通过违约风险敞口和整个存续期预期信用损失率，同时综合考虑账龄因素计算预期信用损失。</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16、合同资产</w:t>
      </w:r>
    </w:p>
    <w:p>
      <w:pPr>
        <w:pStyle w:val="4"/>
        <w:keepNext w:val="0"/>
        <w:keepLines w:val="0"/>
        <w:widowControl/>
        <w:suppressLineNumbers w:val="0"/>
        <w:spacing w:line="3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（1）合同资产的确认方法及标准</w:t>
      </w:r>
    </w:p>
    <w:p>
      <w:pPr>
        <w:pStyle w:val="4"/>
        <w:keepNext w:val="0"/>
        <w:keepLines w:val="0"/>
        <w:widowControl/>
        <w:suppressLineNumbers w:val="0"/>
        <w:spacing w:line="3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p>
    <w:p>
      <w:pPr>
        <w:pStyle w:val="4"/>
        <w:keepNext w:val="0"/>
        <w:keepLines w:val="0"/>
        <w:widowControl/>
        <w:suppressLineNumbers w:val="0"/>
        <w:spacing w:line="3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（2）合同资产预期信用损失的确定方法及会计处理方法</w:t>
      </w:r>
    </w:p>
    <w:p>
      <w:pPr>
        <w:pStyle w:val="4"/>
        <w:keepNext w:val="0"/>
        <w:keepLines w:val="0"/>
        <w:widowControl/>
        <w:suppressLineNumbers w:val="0"/>
        <w:spacing w:line="3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合同资产的预期信用损失的确定方法及会计处理方法详见本附注“五、13、应收账款”。</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17、存货</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存货的分类和成本</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存货分类为：在途物资、原材料、周转材料、库存商品等。本公司主要的存货为发电所需的燃煤、燃油。</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存货按成本进行初始计量，存货成本包括采购成本、加工成本和其他使存货达到目前场所和状态所发生的支出。</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（2）发出存货的计价方法</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存货发出时按加权平均法计价。</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（3）不同类别存货可变现净值的确定依据</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计提存货跌价准备后，如果以前减记存货价值的影响因素已经消失，导致存货的可变现净值高于其账面价值的，在原已计提的存货跌价准备金额内予以转回，转回的金额计入当期损益。</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（4）存货的盘存制度</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采用永续盘存制。</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（5）低值易耗品和包装物的摊销方法</w:t>
      </w:r>
    </w:p>
    <w:p>
      <w:pPr>
        <w:pStyle w:val="2"/>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低值易耗品采用一次转销法；  </w:t>
      </w:r>
    </w:p>
    <w:p>
      <w:pPr>
        <w:pStyle w:val="2"/>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包装物采用一次转销法。</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18、持有待售资产</w:t>
      </w:r>
    </w:p>
    <w:p>
      <w:pPr>
        <w:pStyle w:val="4"/>
        <w:keepNext w:val="0"/>
        <w:keepLines w:val="0"/>
        <w:widowControl/>
        <w:suppressLineNumbers w:val="0"/>
        <w:spacing w:before="100" w:beforeAutospacing="0" w:after="100" w:afterAutospacing="0" w:line="24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主要通过出售（包括具有商业实质的非货币性资产交换）而非持续使用一项非流动资产或处置组收回其账面价值的，划分为持有待售类别。</w:t>
      </w:r>
    </w:p>
    <w:p>
      <w:pPr>
        <w:pStyle w:val="4"/>
        <w:keepNext w:val="0"/>
        <w:keepLines w:val="0"/>
        <w:widowControl/>
        <w:suppressLineNumbers w:val="0"/>
        <w:spacing w:before="100" w:beforeAutospacing="0" w:after="100" w:afterAutospacing="0" w:line="24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本公司将同时满足下列条件的非流动资产或处置组划分为持有待售类别：</w:t>
      </w:r>
    </w:p>
    <w:p>
      <w:pPr>
        <w:pStyle w:val="4"/>
        <w:keepNext w:val="0"/>
        <w:keepLines w:val="0"/>
        <w:widowControl/>
        <w:suppressLineNumbers w:val="0"/>
        <w:spacing w:before="100" w:beforeAutospacing="0" w:after="100" w:afterAutospacing="0" w:line="24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（1）根据类似交易中出售此类资产或处置组的惯例，在当前状况下即可立即出售；</w:t>
      </w:r>
    </w:p>
    <w:p>
      <w:pPr>
        <w:pStyle w:val="4"/>
        <w:keepNext w:val="0"/>
        <w:keepLines w:val="0"/>
        <w:widowControl/>
        <w:suppressLineNumbers w:val="0"/>
        <w:spacing w:before="100" w:beforeAutospacing="0" w:after="100" w:afterAutospacing="0" w:line="24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（2）出售极可能发生，即本公司已经就一项出售计划作出决议且获得确定的购买承诺，预计出售将在一年内完成。有关规定要求本公司相关权力机构或者监管部门批准后方可出售的，已经获得批准。</w:t>
      </w:r>
    </w:p>
    <w:p>
      <w:pPr>
        <w:pStyle w:val="4"/>
        <w:keepNext w:val="0"/>
        <w:keepLines w:val="0"/>
        <w:widowControl/>
        <w:suppressLineNumbers w:val="0"/>
        <w:spacing w:before="100" w:beforeAutospacing="0" w:after="100" w:afterAutospacing="0" w:line="24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划分为持有待售的非流动资产（不包括金融资产、递延所得税资产、职工薪酬形成的资产）或处置组，其账面价值高于公允价值减去出售费用后的净额的，账面价值减记至公允价值减去出售费用后的净额，减记的金额确认为资产减值损失，计入当期损益，同时计提持有待售资产减值准备。</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19、债权投资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20、其他债权投资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21、长期应收款</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22、长期股权投资</w:t>
      </w:r>
    </w:p>
    <w:p>
      <w:pPr>
        <w:pStyle w:val="4"/>
        <w:keepNext w:val="0"/>
        <w:keepLines w:val="0"/>
        <w:widowControl/>
        <w:suppressLineNumbers w:val="0"/>
        <w:spacing w:before="100" w:beforeAutospacing="0" w:after="100" w:afterAutospacing="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1"/>
          <w:szCs w:val="21"/>
          <w:highlight w:val="none"/>
        </w:rPr>
        <w:t>（1）共同控制、重大影响的判断标准</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重大影响，是指对被投资单位的财务和经营决策有参与决策的权力，但并不能够控制或者与其他方一起共同控制这些政策的制定。本公司能够对被投资单位施加重大影响的，被投资单位为本公司联营企业。</w:t>
      </w:r>
    </w:p>
    <w:p>
      <w:pPr>
        <w:pStyle w:val="4"/>
        <w:keepNext w:val="0"/>
        <w:keepLines w:val="0"/>
        <w:widowControl/>
        <w:suppressLineNumbers w:val="0"/>
        <w:spacing w:before="100" w:beforeAutospacing="0" w:after="100" w:afterAutospacing="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b/>
          <w:bCs/>
          <w:color w:val="auto"/>
          <w:sz w:val="21"/>
          <w:szCs w:val="21"/>
          <w:highlight w:val="none"/>
        </w:rPr>
        <w:t> （2）初始投资成本的确定</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1）企业合并形成的长期股权投资</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同一控制下的企业合并形成的对子公司的长期股权投资，在合并日按照取得被合并方所有者权益在最终控制方合并财务报表中的账面价值的份额作为长期股权投资的初始投资成本。长期股权投资初始投资成本与支付对价账面价值之间的差额，调整资本公积中的股本溢价；资本公积中的股本溢价不足冲减时，调整留存收益。因追加投资等原因能够对同一控制下的被投资单位实施控制的，按上述原则确认的长期股权投资的初始投资成本与达到合并前的长期股权投资账面价值加上合并日进一步取得股份新支付对价的账面价值之和的差额，调整股本溢价，股本溢价不足冲减的，冲减留存收益。</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非同一控制下的企业合并形成的对子公司的长期股权投资，按照购买日确定的合并成本作为长期股权投资的初始投资成本。因追加投资等原因能够对非同一控制下的被投资单位实施控制的，按照原持有的股权投资账面价值加上新增投资成本之和作为初始投资成本。</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2）通过企业合并以外的其他方式取得的长期股权投资</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以支付现金方式取得的长期股权投资，按照实际支付的购买价款作为初始投资成本。</w:t>
      </w:r>
    </w:p>
    <w:p>
      <w:pPr>
        <w:pStyle w:val="4"/>
        <w:keepNext w:val="0"/>
        <w:keepLines w:val="0"/>
        <w:widowControl/>
        <w:suppressLineNumbers w:val="0"/>
        <w:spacing w:before="100" w:beforeAutospacing="0" w:after="100" w:afterAutospacing="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以发行权益性证券取得的长期股权投资，按照发行权益性证券的公允价值作为初始投资成本。</w:t>
      </w:r>
    </w:p>
    <w:p>
      <w:pPr>
        <w:pStyle w:val="4"/>
        <w:keepNext w:val="0"/>
        <w:keepLines w:val="0"/>
        <w:widowControl/>
        <w:suppressLineNumbers w:val="0"/>
        <w:spacing w:before="100" w:beforeAutospacing="0" w:after="100" w:afterAutospacing="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color w:val="auto"/>
          <w:sz w:val="18"/>
          <w:szCs w:val="18"/>
          <w:highlight w:val="none"/>
        </w:rPr>
        <w:t> </w:t>
      </w:r>
      <w:r>
        <w:rPr>
          <w:rFonts w:hint="default" w:ascii="Times New Roman" w:hAnsi="Times New Roman" w:eastAsia="宋体" w:cs="Times New Roman"/>
          <w:b/>
          <w:bCs/>
          <w:color w:val="auto"/>
          <w:sz w:val="21"/>
          <w:szCs w:val="21"/>
          <w:highlight w:val="none"/>
        </w:rPr>
        <w:t>（3）后续计量及损益确认方法</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1）成本法核算的长期股权投资</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对子公司的长期股权投资，采用成本法核算，除非投资符合持有待售的条件。除取得投资时实际支付的价款或对价中包含的已宣告但尚未发放的现金股利或利润外，公司按照享有被投资单位宣告发放的现金股利或利润确认当期投资收益。</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2）权益法核算的长期股权投资</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同时调整长期股权投资的成本。</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简称“其他所有者权益变动”），调整长期股权投资的账面价值并计入所有者权益。</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确认应享有被投资单位净损益、其他综合收益及其他所有者权益变动的份额时，以取得投资时被投资单位可辨认净资产的公允价值为基础，并按照公司的会计政策及会计期间，对被投资单位的净利润和其他综合收益等进行调整后确认。</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与联营企业、合营企业之间发生的未实现内部交易损益按照应享有的比例计算归属于公司的部分，予以抵销，在此基础上确认投资收益，但投出或出售的资产构成业务的除外。与被投资单位发生的未实现内部交易损失，属于资产减值损失的，全额确认。</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对合营企业或联营企业发生的净亏损，除负有承担额外损失义务外，以长期股权投资的账面价值以及其他实质上构成对合营企业或联营企业净投资的长期权益减记至零为限。合营企业或联营企业以后实现净利润的，公司在收益分享额弥补未确认的亏损分担额后，恢复确认收益分享额。</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3）长期股权投资的处置</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处置长期股权投资，其账面价值与实际取得价款的差额，计入当期损益。</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部分处置权益法核算的长期股权投资，剩余股权仍采用权益法核算的，原权益法核算确认的其他综合收益采用与被投资单位直接处置相关资产或负债相同的基础按相应比例结转，其他所有者权益变动按比例结转入当期损益。</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其他所有者权益变动在终止采用权益法核算时全部转入当期损益。</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因处置部分股权投资等原因丧失了对被投资单位控制权的，在编制个别财务报表时，剩余股权能够对被投资单位实施共同控制或重大影响的，改按权益法核算，并对该剩余股权视同自取得时即采用权益法核算进行调整，对于取得被投资单位控制权之前确认的其他综合收益采用与被投资单位直接处置相关资产或负债相同的基础按比例结转，因采用权益法核算确认的其他所有者权益变动按比例结转入当期损益；剩余股权不能对被投资单位实施共同控制或施加重大影响的，确认为金融资产，其在丧失控制之日的公允价值与账面价值间的差额计入当期损益，对于取得被投资单位控制权之前确认的其他综合收益和其他所有者权益变动全部结转。</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入丧失控制权的当期损益。不属于一揽子交易的，对每一项交易分别进行会计处理。</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23、投资性房地产</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投资性房地产计量模式</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成本法计量</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折旧或摊销方法</w:t>
      </w:r>
    </w:p>
    <w:p>
      <w:pPr>
        <w:pStyle w:val="4"/>
        <w:keepNext w:val="0"/>
        <w:keepLines w:val="0"/>
        <w:widowControl/>
        <w:suppressLineNumbers w:val="0"/>
        <w:spacing w:beforeAutospacing="0" w:afterAutospacing="0" w:line="360" w:lineRule="exact"/>
        <w:ind w:left="0" w:firstLine="420"/>
        <w:jc w:val="both"/>
        <w:rPr>
          <w:rFonts w:hint="default" w:ascii="Times New Roman" w:hAnsi="Times New Roman" w:cs="Times New Roman"/>
          <w:color w:val="auto"/>
          <w:sz w:val="21"/>
          <w:szCs w:val="21"/>
          <w:highlight w:val="none"/>
          <w:lang w:bidi="ar-SA"/>
        </w:rPr>
      </w:pPr>
      <w:r>
        <w:rPr>
          <w:rFonts w:hint="default" w:ascii="Times New Roman" w:hAnsi="Times New Roman" w:eastAsia="宋体" w:cs="Times New Roman"/>
          <w:color w:val="auto"/>
          <w:sz w:val="21"/>
          <w:szCs w:val="21"/>
          <w:highlight w:val="none"/>
          <w:lang w:bidi="ar-SA"/>
        </w:rPr>
        <w:t>投资性房地产是指为赚取租金或资本增值，或两者兼有而持有的房地产，包括已出租的土地使用权、持有并准备增值后转让的土地使用权、已出租的建筑物（含自行建造或开发活动完成后用于出租的建筑物以及正在建造或开发过程中将来用于出租的建筑物）。</w:t>
      </w:r>
    </w:p>
    <w:p>
      <w:pPr>
        <w:pStyle w:val="4"/>
        <w:keepNext w:val="0"/>
        <w:keepLines w:val="0"/>
        <w:widowControl/>
        <w:suppressLineNumbers w:val="0"/>
        <w:spacing w:beforeAutospacing="0" w:afterAutospacing="0" w:line="360" w:lineRule="exact"/>
        <w:ind w:left="0" w:firstLine="420"/>
        <w:jc w:val="both"/>
        <w:rPr>
          <w:rFonts w:hint="default" w:ascii="Times New Roman" w:hAnsi="Times New Roman" w:cs="Times New Roman"/>
          <w:color w:val="auto"/>
          <w:sz w:val="21"/>
          <w:szCs w:val="21"/>
          <w:highlight w:val="none"/>
          <w:lang w:bidi="ar-SA"/>
        </w:rPr>
      </w:pPr>
      <w:r>
        <w:rPr>
          <w:rFonts w:hint="default" w:ascii="Times New Roman" w:hAnsi="Times New Roman" w:eastAsia="宋体" w:cs="Times New Roman"/>
          <w:color w:val="auto"/>
          <w:sz w:val="21"/>
          <w:szCs w:val="21"/>
          <w:highlight w:val="none"/>
          <w:lang w:bidi="ar-SA"/>
        </w:rPr>
        <w:t>与投资性房地产有关的后续支出，在相关的经济利益很可能流入且其成本能够可靠的计量时，计入投资性房地产成本；否则，于发生时计入当期损益。</w:t>
      </w:r>
    </w:p>
    <w:p>
      <w:pPr>
        <w:pStyle w:val="4"/>
        <w:keepNext w:val="0"/>
        <w:keepLines w:val="0"/>
        <w:widowControl/>
        <w:suppressLineNumbers w:val="0"/>
        <w:spacing w:beforeAutospacing="0" w:afterAutospacing="0" w:line="360" w:lineRule="exact"/>
        <w:ind w:left="0" w:firstLine="420"/>
        <w:jc w:val="both"/>
        <w:rPr>
          <w:rFonts w:hint="default" w:ascii="Times New Roman" w:hAnsi="Times New Roman" w:cs="Times New Roman"/>
          <w:color w:val="auto"/>
          <w:sz w:val="21"/>
          <w:szCs w:val="21"/>
          <w:highlight w:val="none"/>
          <w:lang w:bidi="ar-SA"/>
        </w:rPr>
      </w:pPr>
      <w:r>
        <w:rPr>
          <w:rFonts w:hint="default" w:ascii="Times New Roman" w:hAnsi="Times New Roman" w:eastAsia="宋体" w:cs="Times New Roman"/>
          <w:color w:val="auto"/>
          <w:sz w:val="21"/>
          <w:szCs w:val="21"/>
          <w:highlight w:val="none"/>
          <w:lang w:bidi="ar-SA"/>
        </w:rPr>
        <w:t>本公司对现有投资性房地产采用成本模式计量。对按照成本模式计量的投资性房地产－出租用建筑物采用与本公司固定资产相同的折旧政策，出租用土地使用权按与无形资产相同的摊销政策执行。</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24、固定资产</w:t>
      </w:r>
    </w:p>
    <w:p>
      <w:pPr>
        <w:keepNext/>
        <w:keepLines/>
        <w:spacing w:before="0" w:after="0" w:line="36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确认条件</w:t>
      </w:r>
    </w:p>
    <w:p>
      <w:pPr>
        <w:pStyle w:val="4"/>
        <w:keepNext w:val="0"/>
        <w:keepLines w:val="0"/>
        <w:widowControl/>
        <w:suppressLineNumbers w:val="0"/>
        <w:spacing w:beforeAutospacing="0" w:afterAutospacing="0" w:line="360" w:lineRule="exac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（1）固定资产的确认和初始计量</w:t>
      </w:r>
    </w:p>
    <w:p>
      <w:pPr>
        <w:pStyle w:val="4"/>
        <w:keepNext w:val="0"/>
        <w:keepLines w:val="0"/>
        <w:widowControl/>
        <w:suppressLineNumbers w:val="0"/>
        <w:spacing w:beforeAutospacing="0" w:afterAutospacing="0" w:line="360" w:lineRule="exac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固定资产指为生产商品、提供劳务、出租或经营管理而持有，并且使用寿命超过一个会计年度的有形资产。固定资产在同时满足下列条件时予以确认：</w:t>
      </w:r>
    </w:p>
    <w:p>
      <w:pPr>
        <w:pStyle w:val="4"/>
        <w:keepNext w:val="0"/>
        <w:keepLines w:val="0"/>
        <w:widowControl/>
        <w:suppressLineNumbers w:val="0"/>
        <w:spacing w:beforeAutospacing="0" w:afterAutospacing="0" w:line="360" w:lineRule="exac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1）与该固定资产有关的经济利益很可能流入企业；</w:t>
      </w:r>
    </w:p>
    <w:p>
      <w:pPr>
        <w:pStyle w:val="4"/>
        <w:keepNext w:val="0"/>
        <w:keepLines w:val="0"/>
        <w:widowControl/>
        <w:suppressLineNumbers w:val="0"/>
        <w:spacing w:beforeAutospacing="0" w:afterAutospacing="0" w:line="360" w:lineRule="exac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2）该固定资产的成本能够可靠地计量。</w:t>
      </w:r>
    </w:p>
    <w:p>
      <w:pPr>
        <w:pStyle w:val="4"/>
        <w:keepNext w:val="0"/>
        <w:keepLines w:val="0"/>
        <w:widowControl/>
        <w:suppressLineNumbers w:val="0"/>
        <w:spacing w:beforeAutospacing="0" w:afterAutospacing="0" w:line="360" w:lineRule="exac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固定资产按成本（并考虑预计弃置费用因素的影响）进行初始计量。 </w:t>
      </w:r>
    </w:p>
    <w:p>
      <w:pPr>
        <w:pStyle w:val="4"/>
        <w:keepNext w:val="0"/>
        <w:keepLines w:val="0"/>
        <w:widowControl/>
        <w:suppressLineNumbers w:val="0"/>
        <w:spacing w:beforeAutospacing="0" w:afterAutospacing="0" w:line="360" w:lineRule="exac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与固定资产有关的后续支出，在与其有关的经济利益很可能流入且其成本能够可靠计量时，计入固定资产成本；对于被替换的部分，终止确认其账面价值；所有其他后续支出于发生时计入当期损益。</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折旧方法</w:t>
      </w:r>
    </w:p>
    <w:p>
      <w:pPr>
        <w:spacing w:before="0" w:after="0" w:line="0" w:lineRule="exact"/>
        <w:jc w:val="left"/>
        <w:rPr>
          <w:rFonts w:hint="default" w:ascii="Times New Roman" w:hAnsi="Times New Roman" w:cs="Times New Roman"/>
          <w:color w:val="auto"/>
          <w:highlight w:val="none"/>
        </w:rPr>
      </w:pP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折旧方法</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折旧年限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残值率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年折旧率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房屋及建筑物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10-55年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机器设备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5-35年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0.00-5.00%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2.71%-20.00%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运输设备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8-10年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9.50%-11.88%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其他设备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年限平均法</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5-20年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0.00-5.00%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4.75%-20.00%</w:t>
            </w:r>
          </w:p>
        </w:tc>
      </w:tr>
    </w:tbl>
    <w:p>
      <w:pPr>
        <w:pStyle w:val="4"/>
        <w:keepNext w:val="0"/>
        <w:keepLines w:val="0"/>
        <w:widowControl/>
        <w:suppressLineNumbers w:val="0"/>
        <w:spacing w:beforeAutospacing="0" w:afterAutospacing="0" w:line="36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固定资产折旧采用年限平均法分类计提，根据固定资产类别、预计使用寿命和预计净残值率确定折旧率。对计提了减值准备的固定资产，则在未来期间按扣除减值准备后的账面价值及依据尚可使用年限确定折旧额。如固定资产各组成部分的使用寿命不同或者以不同方式为企业提供经济利益，则选择不同折旧率或折旧方法，分别计提折旧。</w:t>
      </w:r>
    </w:p>
    <w:p>
      <w:pPr>
        <w:pStyle w:val="4"/>
        <w:keepNext w:val="0"/>
        <w:keepLines w:val="0"/>
        <w:widowControl/>
        <w:suppressLineNumbers w:val="0"/>
        <w:spacing w:beforeAutospacing="0" w:afterAutospacing="0" w:line="36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（3）固定资产处置</w:t>
      </w:r>
    </w:p>
    <w:p>
      <w:pPr>
        <w:pStyle w:val="4"/>
        <w:keepNext w:val="0"/>
        <w:keepLines w:val="0"/>
        <w:widowControl/>
        <w:suppressLineNumbers w:val="0"/>
        <w:spacing w:beforeAutospacing="0" w:afterAutospacing="0" w:line="36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当固定资产被处置、或者预期通过使用或处置不能产生经济利益时，终止确认该固定资产。固定资产出售、转让、报废或毁损的处置收入扣除其账面价值和相关税费后的金额计入当期损益。</w:t>
      </w:r>
    </w:p>
    <w:p>
      <w:pPr>
        <w:pStyle w:val="4"/>
        <w:keepNext w:val="0"/>
        <w:keepLines w:val="0"/>
        <w:widowControl/>
        <w:suppressLineNumbers w:val="0"/>
        <w:spacing w:beforeAutospacing="0" w:afterAutospacing="0" w:line="36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（4）固定资产的减值测试方法及减值准备计提方法</w:t>
      </w:r>
    </w:p>
    <w:p>
      <w:pPr>
        <w:pStyle w:val="4"/>
        <w:keepNext w:val="0"/>
        <w:keepLines w:val="0"/>
        <w:widowControl/>
        <w:suppressLineNumbers w:val="0"/>
        <w:spacing w:beforeAutospacing="0" w:afterAutospacing="0" w:line="36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固定资产的减值测试方法和减值准备计提方法详见本附注30</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color w:val="auto"/>
          <w:sz w:val="21"/>
          <w:szCs w:val="21"/>
          <w:highlight w:val="none"/>
        </w:rPr>
        <w:t>长期资产减值。</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25、在建工程</w:t>
      </w:r>
    </w:p>
    <w:p>
      <w:pPr>
        <w:keepNext/>
        <w:keepLines/>
        <w:spacing w:before="300" w:after="300" w:line="288" w:lineRule="auto"/>
        <w:ind w:firstLine="420" w:firstLineChars="200"/>
        <w:jc w:val="left"/>
        <w:outlineLvl w:val="2"/>
        <w:rPr>
          <w:rFonts w:hint="default" w:ascii="Times New Roman" w:hAnsi="Times New Roman" w:eastAsia="宋体" w:cs="Times New Roman"/>
          <w:b w:val="0"/>
          <w:bCs w:val="0"/>
          <w:color w:val="auto"/>
          <w:sz w:val="21"/>
          <w:szCs w:val="21"/>
          <w:highlight w:val="none"/>
          <w:lang w:val="en-US" w:eastAsia="zh-CN" w:bidi="ar"/>
        </w:rPr>
      </w:pPr>
      <w:r>
        <w:rPr>
          <w:rFonts w:hint="default" w:ascii="Times New Roman" w:hAnsi="Times New Roman" w:cs="Times New Roman"/>
          <w:color w:val="auto"/>
          <w:szCs w:val="21"/>
          <w:highlight w:val="none"/>
          <w:lang w:val="en-US" w:eastAsia="zh-CN" w:bidi="ar"/>
        </w:rPr>
        <w:t>在建工程按实际发生的成本计量。实际成本包括建筑成本、安装成本、符合资本化条件的借款费用以及其他为使在建工程达到预定可使用状态前所发生的必要支出。在建工程在达到预定可使用状态时，转入固定资产并自次月起开始计提折旧。在建工程的减值测试方法和减值准备计提方法详见本附注30、长期资产减值。</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26、借款费用</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（1）借款费用资本化的确认原则</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公司发生的借款费用，可直接归属于符合资本化条件的资产的购建或者生产的，予以资本化，计入相关资产成本；其他借款费用，在发生时根据其发生额确认为费用，计入当期损益。</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符合资本化条件的资产，是指需要经过相当长时间的购建或者生产活动才能达到预定可使用或者可销售状态的固定资产、投资性房地产和存货等资产。</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（2）借款费用资本化期间</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资本化期间，指从借款费用开始资本化时点到停止资本化时点的期间，借款费用暂停资本化的期间不包括在内。</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借款费用同时满足下列条件时开始资本化： </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xml:space="preserve">1）资产支出已经发生，资产支出包括为购建或者生产符合资本化条件的资产而以支付现金、转移非现金资产或者承担带息债务形式发生的支出； </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xml:space="preserve">2）借款费用已经发生； </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3）为使资产达到预定可使用或者可销售状态所必要的购建或者生产活动已经开始。</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当购建或者生产符合资本化条件的资产达到预定可使用或者可销售状态时，借款费用停止资本化。</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（3）暂停资本化期间</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（4）借款费用资本化率、资本化金额的计算方法</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实际利率计算确定。</w:t>
      </w:r>
    </w:p>
    <w:p>
      <w:pPr>
        <w:pStyle w:val="4"/>
        <w:keepNext w:val="0"/>
        <w:keepLines w:val="0"/>
        <w:widowControl/>
        <w:suppressLineNumbers w:val="0"/>
        <w:spacing w:beforeAutospacing="0" w:afterAutospacing="0" w:line="4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在资本化期间内，外币专门借款本金及利息的汇兑差额，予以资本化，计入符合资本化条件的资产的成本。除外币专门借款之外的其他外币借款本金及其利息所产生的汇兑差额计入当期损益。</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27、生物资产</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28、油气资产</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29、无形资产</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使用寿命及其确定依据、估计情况、摊销方法或复核程序</w:t>
      </w:r>
    </w:p>
    <w:p>
      <w:pPr>
        <w:pStyle w:val="4"/>
        <w:keepNext w:val="0"/>
        <w:keepLines w:val="0"/>
        <w:widowControl/>
        <w:suppressLineNumbers w:val="0"/>
        <w:spacing w:before="300" w:beforeAutospacing="0" w:after="300" w:afterAutospacing="0" w:line="280" w:lineRule="atLeast"/>
        <w:ind w:left="0" w:right="0"/>
        <w:jc w:val="left"/>
        <w:rPr>
          <w:rFonts w:hint="default" w:ascii="Times New Roman" w:hAnsi="Times New Roman" w:cs="Times New Roman"/>
          <w:color w:val="auto"/>
          <w:sz w:val="21"/>
          <w:szCs w:val="21"/>
          <w:highlight w:val="none"/>
        </w:rPr>
      </w:pPr>
      <w:r>
        <w:rPr>
          <w:rStyle w:val="7"/>
          <w:rFonts w:hint="default" w:ascii="Times New Roman" w:hAnsi="Times New Roman" w:eastAsia="宋体" w:cs="Times New Roman"/>
          <w:b/>
          <w:bCs/>
          <w:color w:val="auto"/>
          <w:sz w:val="21"/>
          <w:szCs w:val="21"/>
          <w:highlight w:val="none"/>
        </w:rPr>
        <w:t>（1） 使用寿命及其确定依据、估计情况、摊销方法或复核程序</w:t>
      </w:r>
    </w:p>
    <w:p>
      <w:pPr>
        <w:pStyle w:val="4"/>
        <w:keepNext w:val="0"/>
        <w:keepLines w:val="0"/>
        <w:widowControl/>
        <w:suppressLineNumbers w:val="0"/>
        <w:spacing w:before="100" w:beforeAutospacing="0" w:after="100" w:afterAutospacing="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1"/>
          <w:szCs w:val="21"/>
          <w:highlight w:val="none"/>
        </w:rPr>
        <w:t>无形资产的计价方法</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1）公司取得无形资产时按成本进行初始计量；</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外购无形资产的成本，包括购买价款、相关税费以及直接归属于使该项资产达到预定用途所发生的其他支出。</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2）后续计量</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在取得无形资产时分析判断其使用寿命。</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对于使用寿命有限的无形资产，在为企业带来经济利益的期限内摊销；无法预见无形资产为企业带来经济利益期限的，视为使用寿命不确定的无形资产，不予摊销。</w:t>
      </w:r>
    </w:p>
    <w:p>
      <w:pPr>
        <w:pStyle w:val="4"/>
        <w:keepNext w:val="0"/>
        <w:keepLines w:val="0"/>
        <w:widowControl/>
        <w:suppressLineNumbers w:val="0"/>
        <w:spacing w:before="100" w:beforeAutospacing="0" w:after="100" w:afterAutospacing="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1"/>
          <w:szCs w:val="21"/>
          <w:highlight w:val="none"/>
        </w:rPr>
        <w:t>使用寿命有限的无形资产的使用寿命估计情况</w:t>
      </w:r>
    </w:p>
    <w:tbl>
      <w:tblPr>
        <w:tblStyle w:val="5"/>
        <w:tblW w:w="4550" w:type="pct"/>
        <w:jc w:val="right"/>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92"/>
        <w:gridCol w:w="2417"/>
        <w:gridCol w:w="1319"/>
        <w:gridCol w:w="34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right"/>
        </w:trPr>
        <w:tc>
          <w:tcPr>
            <w:tcW w:w="155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项目</w:t>
            </w:r>
          </w:p>
        </w:tc>
        <w:tc>
          <w:tcPr>
            <w:tcW w:w="2092"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预计使用寿命</w:t>
            </w:r>
          </w:p>
        </w:tc>
        <w:tc>
          <w:tcPr>
            <w:tcW w:w="114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摊销方法</w:t>
            </w:r>
          </w:p>
        </w:tc>
        <w:tc>
          <w:tcPr>
            <w:tcW w:w="2976"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依据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right"/>
        </w:trPr>
        <w:tc>
          <w:tcPr>
            <w:tcW w:w="1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土地使用权</w:t>
            </w:r>
          </w:p>
        </w:tc>
        <w:tc>
          <w:tcPr>
            <w:tcW w:w="209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使用期限</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直线法</w:t>
            </w:r>
          </w:p>
        </w:tc>
        <w:tc>
          <w:tcPr>
            <w:tcW w:w="29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土地使用权证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right"/>
        </w:trPr>
        <w:tc>
          <w:tcPr>
            <w:tcW w:w="1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软件</w:t>
            </w:r>
          </w:p>
        </w:tc>
        <w:tc>
          <w:tcPr>
            <w:tcW w:w="209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10</w:t>
            </w:r>
            <w:r>
              <w:rPr>
                <w:rFonts w:hint="default" w:ascii="Times New Roman" w:hAnsi="Times New Roman" w:eastAsia="宋体" w:cs="Times New Roman"/>
                <w:color w:val="auto"/>
                <w:sz w:val="18"/>
                <w:szCs w:val="18"/>
                <w:highlight w:val="none"/>
              </w:rPr>
              <w:t>年</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直线法</w:t>
            </w:r>
          </w:p>
        </w:tc>
        <w:tc>
          <w:tcPr>
            <w:tcW w:w="29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预计使用年限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right"/>
        </w:trPr>
        <w:tc>
          <w:tcPr>
            <w:tcW w:w="15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专利权</w:t>
            </w:r>
          </w:p>
        </w:tc>
        <w:tc>
          <w:tcPr>
            <w:tcW w:w="20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10</w:t>
            </w:r>
            <w:r>
              <w:rPr>
                <w:rFonts w:hint="default" w:ascii="Times New Roman" w:hAnsi="Times New Roman" w:eastAsia="宋体" w:cs="Times New Roman"/>
                <w:color w:val="auto"/>
                <w:sz w:val="18"/>
                <w:szCs w:val="18"/>
                <w:highlight w:val="none"/>
              </w:rPr>
              <w:t>年</w:t>
            </w:r>
          </w:p>
        </w:tc>
        <w:tc>
          <w:tcPr>
            <w:tcW w:w="114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直线法</w:t>
            </w:r>
          </w:p>
        </w:tc>
        <w:tc>
          <w:tcPr>
            <w:tcW w:w="297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line="40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预计使用年限</w:t>
            </w:r>
          </w:p>
        </w:tc>
      </w:tr>
    </w:tbl>
    <w:p>
      <w:pPr>
        <w:pStyle w:val="4"/>
        <w:keepNext w:val="0"/>
        <w:keepLines w:val="0"/>
        <w:widowControl/>
        <w:suppressLineNumbers w:val="0"/>
        <w:spacing w:before="100" w:beforeAutospacing="0" w:after="100" w:afterAutospacing="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b/>
          <w:bCs/>
          <w:color w:val="auto"/>
          <w:sz w:val="21"/>
          <w:szCs w:val="21"/>
          <w:highlight w:val="none"/>
        </w:rPr>
        <w:t>使用寿命不确定的无形资产的判断依据以及对其使用寿命进行复核的程序</w:t>
      </w:r>
    </w:p>
    <w:p>
      <w:pPr>
        <w:pStyle w:val="4"/>
        <w:keepNext w:val="0"/>
        <w:keepLines w:val="0"/>
        <w:widowControl/>
        <w:suppressLineNumbers w:val="0"/>
        <w:spacing w:before="100" w:beforeAutospacing="0" w:after="100" w:afterAutospacing="0" w:line="3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本公司将无法预见该资产为公司带来经济利益的期限，或使用期限不确定等无形资产确定为使用寿命不确定的无形资产。</w:t>
      </w:r>
    </w:p>
    <w:p>
      <w:pPr>
        <w:pStyle w:val="4"/>
        <w:keepNext w:val="0"/>
        <w:keepLines w:val="0"/>
        <w:widowControl/>
        <w:suppressLineNumbers w:val="0"/>
        <w:spacing w:before="100" w:beforeAutospacing="0" w:after="100" w:afterAutospacing="0" w:line="300" w:lineRule="atLeast"/>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使用寿命不确定的判断依据：（1）来源于合同性权利或其他法定权利，但合同规定或法律规定无明确使用年限；（2）综合同行业情况或相关专家论证等，仍无法判断无形资产为公司带来经济利益的期限。</w:t>
      </w:r>
    </w:p>
    <w:p>
      <w:pPr>
        <w:pStyle w:val="4"/>
        <w:keepNext w:val="0"/>
        <w:keepLines w:val="0"/>
        <w:widowControl/>
        <w:suppressLineNumbers w:val="0"/>
        <w:spacing w:before="100" w:beforeAutospacing="0" w:after="100" w:afterAutospacing="0" w:line="30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每年年末，对使用寿命不确定无形资产使用寿命进行复核，主要采取自下而上的方式，由无形资产使用相关部门进行基础复核，评价使用寿命不确定判断依据是否存在变化等。</w:t>
      </w:r>
    </w:p>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1"/>
          <w:szCs w:val="21"/>
          <w:highlight w:val="none"/>
        </w:rPr>
        <w:t>无形资产减值准备的计提</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对于使用寿命确定的无形资产，如有明显减值迹象的，期末进行减值测试。</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对于使用寿命不确定的无形资产，每期末进行减值测试。</w:t>
      </w:r>
    </w:p>
    <w:p>
      <w:pPr>
        <w:pStyle w:val="4"/>
        <w:keepNext w:val="0"/>
        <w:keepLines w:val="0"/>
        <w:widowControl/>
        <w:suppressLineNumbers w:val="0"/>
        <w:spacing w:line="400" w:lineRule="atLeast"/>
        <w:ind w:left="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无形资产进行减值测试，估计其可收回金额。有迹象表明一项无形资产可能发生减值的，公司以单项无形资产为基础估计其可收回金额。公司难以对单项资产的可收回金额进行估计的，以该无形资产所属的资产组为基础确定无形资产组的可收回金额。</w:t>
      </w:r>
    </w:p>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可收回金额根据无形资产的公允价值减去处置费用后的净额与无形资产预计未来现金流量的现值两者之间较高者确定。</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当无形资产的可收回金额低于其账面价值的，将无形资产的账面价值减记至可收回金额，减记的金额确认为无形资产减值损失，计入当期损益，同时计提相应的无形资产减值准备。</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无形资产减值损失确认后，减值无形资产的折耗或者摊销费用在未来期间作相应调整，以使该无形资产在剩余使用寿命内，系统地分摊调整后的无形资产账面价值（扣除预计净残值）。</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无形资产的减值损失一经确认，在以后会计期间不再转回。</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研发支出的归集范围及相关会计处理方法</w:t>
      </w:r>
    </w:p>
    <w:p>
      <w:pPr>
        <w:pStyle w:val="4"/>
        <w:keepNext w:val="0"/>
        <w:keepLines w:val="0"/>
        <w:widowControl/>
        <w:suppressLineNumbers w:val="0"/>
        <w:spacing w:before="100" w:beforeAutospacing="0" w:after="100" w:afterAutospacing="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1"/>
          <w:szCs w:val="21"/>
          <w:highlight w:val="none"/>
        </w:rPr>
        <w:t>划分研究阶段和开发阶段的具体标准</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公司内部研究开发项目的支出分为研究阶段支出和开发阶段支出。</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研究阶段：为获取并理解新的科学或技术知识等而进行的独创性的有计划调查、研究活动的阶段。</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开发阶段：在进行商业性生产或使用前，将研究成果或其他知识应用于某项计划或设计，以生产出新的或具有实质性改进的材料、装置、产品等活动的阶段。</w:t>
      </w:r>
    </w:p>
    <w:p>
      <w:pPr>
        <w:pStyle w:val="4"/>
        <w:keepNext w:val="0"/>
        <w:keepLines w:val="0"/>
        <w:widowControl/>
        <w:suppressLineNumbers w:val="0"/>
        <w:spacing w:before="100" w:beforeAutospacing="0" w:after="100" w:afterAutospacing="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1"/>
          <w:szCs w:val="21"/>
          <w:highlight w:val="none"/>
        </w:rPr>
        <w:t>开发阶段支出资本化的具体条件</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研究阶段的支出，于发生时计入当期损益。开发阶段的支出同时满足下列条件的，确认为无形资产，不能满足下述条件的开发阶段的支出计入当期损益：</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1）完成该无形资产以使其能够使用或出售在技术上具有可行性；</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2）具有完成该无形资产并使用或出售的意图；</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3）无形资产产生经济利益的方式，包括能够证明运用该无形资产生产的产品存在市场或无形资产自身存在市场，无形资产将在内部使用的，能够证明其有用性；</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4）有足够的技术、财务资源和其他资源支持，以完成该无形资产的开发，并有能力使用或出售该无形资产；</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5）归属于该无形资产开发阶段的支出能够可靠地计量。</w:t>
      </w:r>
    </w:p>
    <w:p>
      <w:pPr>
        <w:pStyle w:val="4"/>
        <w:keepNext w:val="0"/>
        <w:keepLines w:val="0"/>
        <w:widowControl/>
        <w:suppressLineNumbers w:val="0"/>
        <w:spacing w:before="100" w:beforeAutospacing="0" w:after="100" w:afterAutospacing="0"/>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无法区分研究阶段支出和开发阶段支出的，将发生的研发支出全部计入当期损益。</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30、长期资产减值</w:t>
      </w:r>
    </w:p>
    <w:p>
      <w:pPr>
        <w:pStyle w:val="4"/>
        <w:keepNext w:val="0"/>
        <w:keepLines w:val="0"/>
        <w:widowControl/>
        <w:suppressLineNumbers w:val="0"/>
        <w:spacing w:before="100" w:beforeAutospacing="0" w:after="100" w:afterAutospacing="0" w:line="32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长期股权投资、采用成本模式计量的投资性房地产、固定资产、在建工程、使用权资产、使用寿命有限的无形资产、油气资产等长期资产，于资产负债表日存在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对于因企业合并形成的商誉、使用寿命不确定的无形资产、尚未达到可使用状态的无形资产，无论是否存在减值迹象，至少在每年年度终了进行减值测试。</w:t>
      </w:r>
    </w:p>
    <w:p>
      <w:pPr>
        <w:pStyle w:val="4"/>
        <w:keepNext w:val="0"/>
        <w:keepLines w:val="0"/>
        <w:widowControl/>
        <w:suppressLineNumbers w:val="0"/>
        <w:spacing w:line="32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进行商誉减值测试，对于因企业合并形成的商誉的账面价值，自购买日起按照合理的方法分摊至相关的资产组；难以分摊至相关的资产组的，将其分摊至相关的资产组组合。相关的资产组或者资产组组合，是能够从企业合并的协同效应中受益的资产组或者资产组组合。</w:t>
      </w:r>
    </w:p>
    <w:p>
      <w:pPr>
        <w:pStyle w:val="4"/>
        <w:keepNext w:val="0"/>
        <w:keepLines w:val="0"/>
        <w:widowControl/>
        <w:suppressLineNumbers w:val="0"/>
        <w:spacing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然后对包含商誉的资产组或者资产组组合进行减值测试，比较其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 上述资产减值损失一经确认，在以后会计期间不予转回。</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31、长期待摊费用</w:t>
      </w:r>
    </w:p>
    <w:p>
      <w:pPr>
        <w:pStyle w:val="4"/>
        <w:keepNext w:val="0"/>
        <w:keepLines w:val="0"/>
        <w:widowControl/>
        <w:suppressLineNumbers w:val="0"/>
        <w:spacing w:line="36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长期待摊费用为已经发生但应由本期和以后各期负担的分摊期限在一年以上的各项费用。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32、合同负债</w:t>
      </w:r>
    </w:p>
    <w:p>
      <w:pPr>
        <w:pStyle w:val="4"/>
        <w:keepNext w:val="0"/>
        <w:keepLines w:val="0"/>
        <w:widowControl/>
        <w:suppressLineNumbers w:val="0"/>
        <w:spacing w:line="36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33、职工薪酬</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短期薪酬的会计处理方法</w:t>
      </w:r>
    </w:p>
    <w:p>
      <w:pPr>
        <w:pStyle w:val="4"/>
        <w:keepNext w:val="0"/>
        <w:keepLines w:val="0"/>
        <w:widowControl/>
        <w:suppressLineNumbers w:val="0"/>
        <w:spacing w:before="100" w:beforeAutospacing="0" w:after="100" w:afterAutospacing="0"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本公司在职工为本公司提供服务的会计期间，将实际发生的短期薪酬确认为负债，并计入当期损益或相关资产成本。</w:t>
      </w:r>
    </w:p>
    <w:p>
      <w:pPr>
        <w:pStyle w:val="4"/>
        <w:keepNext w:val="0"/>
        <w:keepLines w:val="0"/>
        <w:widowControl/>
        <w:suppressLineNumbers w:val="0"/>
        <w:spacing w:before="100" w:beforeAutospacing="0" w:after="100" w:afterAutospacing="0"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本公司为职工缴纳的社会保险费和住房公积金，以及按规定提取的工会经费和职工教育经费，在职工为本公司提供服务的会计期间，根据规定的计提基础和计提比例计算确定相应的职工薪酬金额。</w:t>
      </w:r>
    </w:p>
    <w:p>
      <w:pPr>
        <w:pStyle w:val="4"/>
        <w:keepNext w:val="0"/>
        <w:keepLines w:val="0"/>
        <w:widowControl/>
        <w:suppressLineNumbers w:val="0"/>
        <w:spacing w:before="100" w:beforeAutospacing="0" w:after="100" w:afterAutospacing="0"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本公司发生的职工福利费，在实际发生时根据实际发生额计入当期损益或相关资产成本，其中，非货币性福利按照公允价值计量。</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离职后福利的会计处理方法</w:t>
      </w:r>
    </w:p>
    <w:p>
      <w:pPr>
        <w:pStyle w:val="4"/>
        <w:keepNext w:val="0"/>
        <w:keepLines w:val="0"/>
        <w:widowControl/>
        <w:suppressLineNumbers w:val="0"/>
        <w:spacing w:before="100" w:beforeAutospacing="0" w:after="100" w:afterAutospacing="0" w:line="360" w:lineRule="atLeast"/>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1）设定提存计划</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按当地政府的相关规定为职工缴纳基本养老保险和失业保险，在职工为本公司提供服务的会计期间，按以当地规定的缴纳基数和比例计算应缴纳金额，确认为负债，并计入当期损益或相关资产成本。此外，本公司还参与了由国家相关部门批准的企业年金计划（补充养老保险）。本公司按职工工资总额的一定比例向年金计划缴费（补充养老保险），相应支出计入当期损益或相关资产成本。</w:t>
      </w:r>
    </w:p>
    <w:p>
      <w:pPr>
        <w:pStyle w:val="4"/>
        <w:keepNext w:val="0"/>
        <w:keepLines w:val="0"/>
        <w:widowControl/>
        <w:suppressLineNumbers w:val="0"/>
        <w:spacing w:before="100" w:beforeAutospacing="0" w:after="100" w:afterAutospacing="0" w:line="360" w:lineRule="atLeast"/>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2）设定受益计划</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本公司根据预期累计福利单位法确定的公式将设定受益计划产生的福利义务归属于职工提供服务的期间，并计入当期损益或相关资产成本。</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设定受益计划产生的服务成本和设定受益计划净负债或净资产的利息净额计入当期损益或相关资产成本；重新计量设定受益计划净负债或净资产所产生的变动计入其他综合收益，并且在后续会计期间不转回至损益，在原设定受益计划终止时在权益范围内将原计入其他综合收益的部分全部结转至未分配利润。</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在设定受益计划结算时，按在结算日确定的设定受益计划义务现值和结算价格两者的差额，确认结算利得或损失。</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辞退福利的会计处理方法</w:t>
      </w:r>
    </w:p>
    <w:p>
      <w:pPr>
        <w:pStyle w:val="4"/>
        <w:keepNext w:val="0"/>
        <w:keepLines w:val="0"/>
        <w:widowControl/>
        <w:suppressLineNumbers w:val="0"/>
        <w:spacing w:line="36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向职工提供辞退福利的，在下列两者孰早日确认辞退福利产生的职工薪酬负债，并计入当期损益：公司不能单方面撤回因解除劳动关系计划或裁减建议所提供的辞退福利时；公司确认与涉及支付辞退福利的重组相关的成本或费用时。</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其他长期职工福利的会计处理方法</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34、预计负债</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与或有事项相关的义务同时满足下列条件时，本公司将其确认为预计负债：</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（1）该义务是本公司承担的现时义务；</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（2）履行该义务很可能导致经济利益流出本公司；</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（3）该义务的金额能够可靠地计量。</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预计负债按履行相关现时义务所需的支出的最佳估计数进行初始计量。</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在确定最佳估计数时，综合考虑与或有事项有关的风险、不确定性和货币时间价值等因素。对于货币时间价值影响重大的，通过对相关未来现金流出进行折现后确定最佳估计数。</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所需支出存在一个连续范围，且该范围内各种结果发生的可能性相同的，最佳估计数按照该范围内的中间值确定；在其他情况下，最佳估计数分别下列情况处理：</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或有事项涉及单个项目的，按照最可能发生金额确定。</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或有事项涉及多个项目的，按照各种可能结果及相关概率计算确定。</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清偿预计负债所需支出全部或部分预期由第三方补偿的，补偿金额在基本确定能够收到时，作为资产单独确认，确认的补偿金额不超过预计负债的账面价值。</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本公司在资产负债表日对预计负债的账面价值进行复核，有确凿证据表明该账面价值不能反映当前最佳估计数的，按照当前最佳估计数对该账面价值进行调整。</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35、股份支付</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本公司的股份支付是为了获取职工或其他方提供服务而授予权益工具或者承担以权益工具为基础确定的负债的交易。本公司的股份支付分为以权益结算的股份支付和以现金结算的股份支付。</w:t>
      </w:r>
    </w:p>
    <w:p>
      <w:pPr>
        <w:pStyle w:val="4"/>
        <w:keepNext w:val="0"/>
        <w:keepLines w:val="0"/>
        <w:widowControl/>
        <w:suppressLineNumbers w:val="0"/>
        <w:spacing w:before="100" w:beforeAutospacing="0" w:after="100" w:afterAutospacing="0" w:line="360" w:lineRule="atLeast"/>
        <w:ind w:left="0" w:firstLine="360"/>
        <w:jc w:val="both"/>
        <w:rPr>
          <w:rFonts w:hint="default" w:ascii="Times New Roman" w:hAnsi="Times New Roman" w:cs="Times New Roman"/>
          <w:color w:val="auto"/>
          <w:sz w:val="24"/>
          <w:szCs w:val="24"/>
          <w:highlight w:val="none"/>
        </w:rPr>
      </w:pPr>
      <w:r>
        <w:rPr>
          <w:rStyle w:val="7"/>
          <w:rFonts w:hint="default" w:ascii="Times New Roman" w:hAnsi="Times New Roman" w:eastAsia="宋体" w:cs="Times New Roman"/>
          <w:b/>
          <w:bCs/>
          <w:color w:val="auto"/>
          <w:sz w:val="18"/>
          <w:szCs w:val="18"/>
          <w:highlight w:val="none"/>
        </w:rPr>
        <w:t> （1）</w:t>
      </w:r>
      <w:r>
        <w:rPr>
          <w:rFonts w:hint="default" w:ascii="Times New Roman" w:hAnsi="Times New Roman" w:eastAsia="宋体" w:cs="Times New Roman"/>
          <w:b/>
          <w:bCs/>
          <w:color w:val="auto"/>
          <w:sz w:val="21"/>
          <w:szCs w:val="21"/>
          <w:highlight w:val="none"/>
        </w:rPr>
        <w:t>以权益结算的股份支付及权益工具</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权益结算的股份支付换取职工提供服务的，以授予职工权益工具的公允价值计量。对于授予后立即可行权的股份支付交易，在授予日按照权益工具的公允价值计入相关成本或费用，相应增加资本公积。对于授予后完成等待期内的服务或达到规定业绩条件才可行权的股份支付交易，在等待期内每个资产负债表日，本公司根据对可行权权益工具数量的最佳估计，按照授予日公允价值，将当期取得的服务计入相关成本或费用，相应增加资本公积。</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如果修改了以权益结算的股份支付的条款，至少按照未修改条款的情况确认取得的服务。此外，任何增加所授予权益工具公允价值的修改，或在修改日对职工有利的变更，均确认取得服务的增加。</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等待期内，如果取消了授予的权益工具，则本公司对取消所授予的权益性工具作为加速行权处理，将剩余等待期内应确认的金额立即计入当期损益，同时确认资本公积。但是，如果授予新的权益工具，并在新权益工具授予日认定所授予的新权益工具是用于替代被取消的权益工具的，则以与处理原权益工具条款和条件修改相同的方式，对所授予的替代权益工具进行处理。</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b/>
          <w:bCs/>
          <w:color w:val="auto"/>
          <w:sz w:val="21"/>
          <w:szCs w:val="21"/>
          <w:highlight w:val="none"/>
        </w:rPr>
        <w:t>（2）以现金结算的股份支付及权益工具</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现金结算的股份支付，按照本公司承担的以股份或其他权益工具为基础计算确定的负债的公允价值计量。授予后立即可行权的股份支付交易，本公司在授予日按照承担负债的公允价值计入相关成本或费用，相应增加负债。对于授予后完成等待期内的服务或达到规定业绩条件才可行权的股份支付交易，在等待期内的每个资产负债表日，本公司以对可行权情况的最佳估计为基础，按照本公司承担负债的公允价值，将当期取得的服务计入相关成本或费用，并相应计入负债。在相关负债结算前的每个资产负债表日以及结算日，对负债的公允价值重新计量，其变动计入当期损益。</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修改以现金结算的股份支付协议中的条款和条件，使其成为以权益结算的股份支付的，在修改日（无论发生在等待期内还是等待期结束后），本公司按照所授予权益工具当日的公允价值计量以权益结算的股份支付，将已取得的服务计入资本公积，同时终止确认以现金结算的股份支付在修改日已确认的负债，两者之间的差额计入当期损益。如果由于修改延长或缩短了等待期，本公司按照修改后的等待期进行会计处理。</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36、优先股、永续债等其他金融工具</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37、收入</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按照业务类型披露收入确认和计量所采用的会计政策</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（1）收入确认和计量所采用的会计政策</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本公司在履行了合同中的履约义务，即在客户取得相关商品或服务控制权时确认收入。取得相关商品或服务控制权，是指能够主导该商品或服务的使用并从中获得几乎全部的经济利益。</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收入极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满足下列条件之一的，属于在某一时段内履行履约义务，否则，属于在某一时点履行履约义务：</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客户在本公司履约的同时即取得并消耗本公司履约所带来的经济利益。</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客户能够控制本公司履约过程中在建的商品。</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本公司履约过程中所产出的商品具有不可替代用途，且本公司在整个合同期内有权就累计至今已完成的履约部分收取款项。</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对于在某一时点履行的履约义务，本公司在客户取得相关商品或服务控制权时点确认收入。在判断客户是否已取得商品或服务控制权时，本公司考虑下列迹象：</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本公司就该商品或服务享有现时收款权利，即客户就该商品或服务负有现时付款义务。</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本公司已将该商品的法定所有权转移给客户，即客户已拥有该商品的法定所有权。</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本公司已将该商品实物转移给客户，即客户已实物占有该商品。</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本公司已将该商品所有权上的主要风险和报酬转移给客户，即客户已取得该商品所有权上的主要风险和报酬。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客户已接受该商品或服务等。</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（2）收入确认和计量所采用的具体会计政策</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1）电力销售收入</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当电力供应至各电厂所在地的电网公司时，电网公司取得电力的控制权。售电收入于电力已传输上网，取得价款或已取得索款凭据时予以确认。</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2）热力销售收入</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当热力供应至购热客户时，购热客户取得热力控制权。供热收入于热气已输送，取得价款或已取得索款凭据时予以确认。</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3）粉煤灰销售收入</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依照合同约定的价格及购买方货车装车并过磅的过磅单确认销售收入，装车即控制权转移。</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4）利息收入</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按照他人使用本公司货币资金的时间和实际利率计算确定。</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5）租赁收入</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经营租赁的租金收入在租赁期内各个期间按照直线法确认。</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本公司给予客户的信用期与发电行业惯例一致，不存在重大融资成分。</w:t>
      </w:r>
    </w:p>
    <w:p>
      <w:pPr>
        <w:spacing w:before="0" w:after="0" w:line="40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同类业务采用不同经营模式涉及不同收入确认方式及计量方法的情况</w:t>
      </w:r>
    </w:p>
    <w:p>
      <w:pPr>
        <w:keepNext/>
        <w:keepLines/>
        <w:spacing w:before="0" w:after="0" w:line="40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38、合同成本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合同成本包括合同履约成本与合同取得成本。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本公司为履行合同而发生的成本，不属于存货、固定资产或无形资产等相关准则规范范围的，在满足下列条件时作为合同履约成本确认为一项资产：</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该成本与一份当前或预期取得的合同直接相关。</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该成本增加了本公司未来用于履行履约义务的资源。</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该成本预期能够收回。</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本公司为取得合同发生的增量成本预期能够收回的，作为合同取得成本确认为一项资产。</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与合同成本有关的资产采用与该资产相关的商品或服务收入确认相同的基础进行摊销；但是对于合同取得成本摊销期限未超过一年的，本公司在发生时将其计入当期损益。</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与合同成本有关的资产，其账面价值高于下列两项的差额的，本公司对超出部分计提减值准备，并确认为资产减值损失：</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（1）因转让与该资产相关的商品或服务预期能够取得的剩余对价；</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（2）为转让该相关商品或服务估计将要发生的成本。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以前期间减值的因素之后发生变化，使得前述差额高于该资产账面价值的，本公司转回原已计提的减值准备，并计入当期损益，但转回后的资产账面价值不超过假定不计提减值准备情况下该资产在转回日的账面价值。</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39、政府补助</w:t>
      </w:r>
    </w:p>
    <w:p>
      <w:pPr>
        <w:pStyle w:val="4"/>
        <w:keepNext w:val="0"/>
        <w:keepLines w:val="0"/>
        <w:widowControl/>
        <w:suppressLineNumbers w:val="0"/>
        <w:spacing w:before="100" w:beforeAutospacing="0" w:after="100" w:afterAutospacing="0"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1"/>
          <w:szCs w:val="21"/>
          <w:highlight w:val="none"/>
        </w:rPr>
        <w:t>（1）类型</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政府补助，是本公司从政府无偿取得的货币性资产或非货币性资产，分为与资产相关的政府补助和与收益相关的政府补助。</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与资产相关的政府补助，是指本公司取得的、用于购建或以其他方式形成长期资产的政府补助。与收益相关的政府补助，是指除与资产相关的政府补助之外的政府补助。</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对于政府文件未明确规定补助对象的，本公司将该政府补助划分为与资产相关或与收益相关的判断依据为：</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1）政府文件明确了补助所针对的特定项目的，根据该特定项目的预算中将形成资产的支出金额和计入费用的支出金额的相对比例进行划分，对该划分比例需在每个资产负债表日进行复核，必要时进行变更；</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2）政府文件中对用途仅作一般性表述，没有指明特定项目的，作为与收益相关的政府补助。</w:t>
      </w:r>
    </w:p>
    <w:p>
      <w:pPr>
        <w:pStyle w:val="4"/>
        <w:keepNext w:val="0"/>
        <w:keepLines w:val="0"/>
        <w:widowControl/>
        <w:suppressLineNumbers w:val="0"/>
        <w:spacing w:before="100" w:beforeAutospacing="0" w:after="100" w:afterAutospacing="0" w:line="360" w:lineRule="atLeast"/>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w:t>
      </w:r>
      <w:r>
        <w:rPr>
          <w:rFonts w:hint="default" w:ascii="Times New Roman" w:hAnsi="Times New Roman" w:eastAsia="宋体" w:cs="Times New Roman"/>
          <w:b/>
          <w:bCs/>
          <w:color w:val="auto"/>
          <w:sz w:val="21"/>
          <w:szCs w:val="21"/>
          <w:highlight w:val="none"/>
        </w:rPr>
        <w:t> （2）确认时点</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政府补助在本公司能够满足其所附的条件并且能够收到时，予以确认。</w:t>
      </w:r>
    </w:p>
    <w:p>
      <w:pPr>
        <w:pStyle w:val="4"/>
        <w:keepNext w:val="0"/>
        <w:keepLines w:val="0"/>
        <w:widowControl/>
        <w:suppressLineNumbers w:val="0"/>
        <w:spacing w:before="100" w:beforeAutospacing="0" w:after="100" w:afterAutospacing="0" w:line="360" w:lineRule="atLeast"/>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b/>
          <w:bCs/>
          <w:color w:val="auto"/>
          <w:sz w:val="21"/>
          <w:szCs w:val="21"/>
          <w:highlight w:val="none"/>
        </w:rPr>
        <w:t>    （3）会计处理</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与资产相关的政府补助确认为递延收益，在相关资产使用寿命内按照合理、系统的方法分期计入当期损益（与本公司日常活动相关的，计入其他收益；与本公司日常活动无关的，计入营业外收入）；</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与收益相关的政府补助，用于补偿本公司以后期间的相关成本费用或损失的，确认为递延收益，并在确认相关成本费用或损失的期间，计入当期损益（与本公司日常活动相关的，计入其他收益；与本公司日常活动无关的，计入营业外收入）；用于补偿本公司已发生的相关成本费用或损失的，直接计入当期损益（与本公司日常活动相关的，计入其他收益；与本公司日常活动无关的，计入营业外收入）。</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本公司取得的政策性优惠贷款贴息，区分以下两种情况，分别进行会计处理：</w:t>
      </w:r>
    </w:p>
    <w:p>
      <w:pPr>
        <w:pStyle w:val="4"/>
        <w:keepNext w:val="0"/>
        <w:keepLines w:val="0"/>
        <w:widowControl/>
        <w:suppressLineNumbers w:val="0"/>
        <w:spacing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1）财政将贴息资金拨付给贷款银行，由贷款银行以政策性优惠利率向本公司提供贷款的，本公司以实际收到的借款金额作为借款的入账价值，按照借款本金和该政策性优惠利率计算相关借款费用。</w:t>
      </w:r>
    </w:p>
    <w:p>
      <w:pPr>
        <w:pStyle w:val="4"/>
        <w:keepNext w:val="0"/>
        <w:keepLines w:val="0"/>
        <w:widowControl/>
        <w:suppressLineNumbers w:val="0"/>
        <w:spacing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2）财政将贴息资金直接拨付给本公司的，本公司将对应的贴息冲减相关借款费用。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40、递延所得税资产/递延所得税负债</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所得税包括当期所得税和递延所得税。除因企业合并和直接计入所有者权益（包括其他综合收益）的交易或者事项产生的所得税外，本公司将当期所得税和递延所得税计入当期损益。</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递延所得税资产和递延所得税负债根据资产和负债的计税基础与其账面价值的差额（暂时性差异）计算确认。</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对于应纳税暂时性差异，除特殊情况外，确认递延所得税负债。</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不确认递延所得税资产或递延所得税负债的特殊情况包括：</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商誉的初始确认；</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既不是企业合并、发生时也不影响会计利润和应纳税所得额（或可抵扣亏损）的交易或事项。</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与子公司、联营企业及合营企业投资相关的应纳税暂时性差异，确认递延所得税负债，除非本公司能够控制该暂时性差异转回的时间且该暂时性差异在可预见的未来很可能不会转回。对与子公司、联营企业及合营企业投资相关的可抵扣暂时性差异，当该暂时性差异在可预见的未来很可能转回且未来很可能获得用来抵扣可抵扣暂时性差异的应纳税所得额时，确认递延所得税资产。</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资产负债表日，对于递延所得税资产和递延所得税负债，根据税法规定，按照预期收回相关资产或清偿相关负债期间的适用税率计量。</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资产负债表日，本公司对递延所得税资产的账面价值进行复核。如果未来期间很可能无法获得足够的应纳税所得额用以抵扣递延所得税资产的利益，则减记递延所得税资产的账面价值。在很可能获得足够的应纳税所得额时，减记的金额予以转回。</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当拥有以净额结算的法定权利，且意图以净额结算或取得资产、清偿负债同时进行时，当期所得税资产及当期所得税负债以抵销后的净额列报。</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资产负债表日，递延所得税资产及递延所得税负债在同时满足以下条件时以抵销后的净额列示：</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纳税主体拥有以净额结算当期所得税资产及当期所得税负债的法定权利；</w:t>
      </w:r>
    </w:p>
    <w:p>
      <w:pPr>
        <w:pStyle w:val="4"/>
        <w:keepNext w:val="0"/>
        <w:keepLines w:val="0"/>
        <w:widowControl/>
        <w:suppressLineNumbers w:val="0"/>
        <w:spacing w:before="100" w:beforeAutospacing="0" w:after="100" w:afterAutospacing="0" w:line="360" w:lineRule="atLeas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  递延所得税资产及递延所得税负债是与同一税收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41、租赁</w:t>
      </w:r>
    </w:p>
    <w:p>
      <w:pPr>
        <w:keepNext/>
        <w:keepLines/>
        <w:spacing w:before="0" w:after="0" w:line="40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作为承租方租赁的会计处理方法</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租赁，是指在一定期间内，出租人将资产的使用权让与承租人以获取对价的合同。在合同开始日，本公司评估合同是否为租赁或者包含租赁。如果合同中一方让渡了在一定期间内控制一项或多项已识别资产使用的权利以换取对价，则该合同为租赁或者包含租赁。</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合同中同时包含多项单独租赁的，本公司将合同予以分拆，并分别各项单独租赁进行会计处理。合同中同时包含租赁和非租赁部分的，承租人和出租人将租赁和非租赁部分进行分拆。</w:t>
      </w:r>
    </w:p>
    <w:p>
      <w:pPr>
        <w:pStyle w:val="4"/>
        <w:keepNext w:val="0"/>
        <w:keepLines w:val="0"/>
        <w:widowControl/>
        <w:suppressLineNumbers w:val="0"/>
        <w:spacing w:before="0" w:beforeAutospacing="0" w:after="0" w:afterAutospacing="0" w:line="400" w:lineRule="exact"/>
        <w:ind w:left="0" w:firstLine="42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本公司作为承租人的：</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1）使用权资产</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在租赁期开始日，本公司对除短期租赁和低价值资产租赁以外的租赁确认使用权资产。使用权资产按照成本进行初始计量。该成本包括：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租赁负债的初始计量金额；</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在租赁期开始日或之前支付的租赁付款额，存在租赁激励的，扣除已享受的租赁激励相关金额；</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本公司发生的初始直接费用；</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本公司为拆卸及移除租赁资产、复原租赁资产所在场地或将租赁资产恢复至租赁条款约定状态预计将发生的成本，但不包括属于为生产存货而发生的成本。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后续釆用直线法对使用权资产计提折旧。对能够合理确定租赁期届满时取得租赁资产所有权的，本公司在租赁资产剩余使用寿命内计提折旧；否则，租赁资产在租赁期与租赁资产剩余使用寿命两者孰短的期间内计提折旧。</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本公司按照本附注“三、21长期资产减值”所述原则来确定使用权资产是否已发生减值，并对已识别的减值损失进行会计处理。</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2）租赁负债</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在租赁期开始日，本公司对除短期租赁和低价值资产租赁以外的租赁确认租赁负债。租赁负债按照尚未支付的租赁付款额的现值进行初始计量。租赁付款额包括：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固定付款额（包括实质固定付款额），存在租赁激励的，扣除租赁激励相关金额；</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取决于指数或比率的可变租赁付款额；</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根据公司提供的担保余值预计应支付的款项；</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购买选择权的行权价格，前提是公司合理确定将行使该选择权；</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行使终止租赁选择权需支付的款项，前提是租赁期反映出公司将行使终止租赁选择权。</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本公司采用租赁内含利率作为折现率，但如果无法合理确定租赁内含利率的，则采用本公司的增量借款利率作为折现率。</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本公司按照固定的周期性利率计算租赁负债在租赁期内各期间的利息费用，并计入当期损益或相关资产成本。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未纳入租赁负债计量的可变租赁付款额在实际发生时计入当期损益或相关资产成本。</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在租赁期开始日后，发生下列情形的，本公司重新计量租赁负债，并调整相应的使用权资产，若使用权资产的账面价值已调减至零，但租赁负债仍需进一步调减的，将差额计入当期损益：</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当购买选择权、续租选择权或终止选择权的评估结果发生变化，或前述选择权的实际行权情况与原评估结果不一致的，本公司按变动后租赁付款额和修订后的折现率计算的现值重新计量租赁负债；</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3）短期租赁和低价值资产租赁</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选择对短期租赁和低价值资产租赁不确认使用权资产和租赁负债，并将相关的租赁付款额在租赁期内各个期间按照直线法计入当期损益或相关资产成本。短期租赁，是指在租赁期开始日，租赁期不超过12个月且不包含购买选择权的租赁。低价值资产租赁，是指单项租赁资产为全新资产时价值较低的租赁。公司转租或预期转租租赁资产的，原租赁不属于低价值资产租赁。</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4）租赁变更</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租赁发生变更且同时符合下列条件的，公司将该租赁变更作为一项单独租赁进行会计处理：</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该租赁变更通过增加一项或多项租赁资产的使用权而扩大了租赁范围；</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增加的对价与租赁范围扩大部分的单独价格按该合同情况调整后的金额相当。</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租赁变更未作为一项单独租赁进行会计处理的，在租赁变更生效日，公司重新分摊变更后合同的对价，重新确定租赁期，并按照变更后租赁付款额和修订后的折现率计算的现值重新计量租赁负债。</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p>
      <w:pPr>
        <w:keepNext/>
        <w:keepLines/>
        <w:spacing w:before="0" w:after="0" w:line="40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作为出租方租赁的会计处理方法</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租赁开始日，本公司将租赁分为融资租赁和经营租赁。融资租赁，是指无论所有权最终是否转移，但实质上转移了与租赁资产所有权有关的几乎全部风险和报酬的租赁。经营租赁，是指除融资租赁以外的其他租赁。本公司作为转租出租人时，基于原租赁产生的使用权资产对转租赁进行分类。</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1）经营租赁会计处理</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经营租赁的租赁收款额在租赁期内各个期间按照直线法确认为租金收入。本公司将发生的与经营租赁有关的初始直接费用予以资本化，在租赁期内按照与租金收入确认相同的基础分摊计入当期损益。未计入租赁收款额的可变租赁付款额在实际发生时计入当期损益。经营租赁发生变更的，公司自变更生效日起将其作为一项新租赁进行会计处理，与变更前租赁有关的预收或应收租赁收款额视为新租赁的收款额。</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2）融资租赁会计处理</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在租赁开始日，本公司对融资租赁确认应收融资租赁款，并终止确认融资租赁资产。本公司对应收融资租赁款进行初始计量时，将租赁投资净额作为应收融资租赁款的入账价值。租赁投资净额为未担保余值和租赁期开始日尚未收到的租赁收款额按照租赁内含利率折现的现值之和。</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本公司按照固定的周期性利率计算并确认租赁期内各个期间的利息收入。应收融资租赁款的终止确认和减值按照本节即“五、11金融工具”进行会计处理。</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未纳入租赁投资净额计量的可变租赁付款额在实际发生时计入当期损益。</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融资租赁发生变更且同时符合下列条件的，本公司将该变更作为一项单独租赁进行会计处理：</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该变更通过增加一项或多项租赁资产的使用权而扩大了租赁范围；</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增加的对价与租赁范围扩大部分的单独价格按该合同情况调整后的金额相当。</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融资租赁的变更未作为一项单独租赁进行会计处理的，本公司分别下列情形对变更后的租赁进行处理：</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假如变更在租赁开始日生效，该租赁会被分类为经营租赁的，本公司自租赁变更生效日开始将其作为一项新租赁进行会计处理，并以租赁变更生效日前的租赁投资净额作为租赁资产的账面价值；</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假如变更在租赁开始日生效，该租赁会被分类为融资租赁的，本公司按照本节“五、11金融工具”关于修改或重新议定合同的政策”进行会计处理。</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（3）售后租回交易</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公司按照本节“五、37收入”所述原则评估确定售后租回交易中的资产转让是否属于销售。</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1）作为承租人</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售后租回交易中的资产转让属于销售的，公司作为承租人按原资产账面价值中与租回获得的使用权有关的部分，计量售后租回所形成的使用权资产，并仅就转让至出租人的权利确认相关利得或损失；售后租回交易中的资产转让不属于销售的，公司作为承租人继续确认被转让资产，同时确认一项与转让收入等额的金融负债。金融负债的会计处理详见本节“五、11金融工具”。</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2）作为出租人</w:t>
      </w:r>
    </w:p>
    <w:p>
      <w:pPr>
        <w:pStyle w:val="4"/>
        <w:keepNext w:val="0"/>
        <w:keepLines w:val="0"/>
        <w:widowControl/>
        <w:suppressLineNumbers w:val="0"/>
        <w:spacing w:beforeAutospacing="0" w:afterAutospacing="0" w:line="400" w:lineRule="exac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售后租回交易中的资产转让属于销售的，公司作为出租人对资产购买进行会计处理，并根据前述“（2）本公司作为出租人”的政策对资产出租进行会计处理；售后租回交易中的资产转让不属于销售的，公司作为出租人不确认被转让资产，但确认一项与转让收入等额的金融资产。金融资产的会计处理详见本节“五、11、金融工具”。</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42、其他重要的会计政策和会计估计</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43、重要会计政策和会计估计变更</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重要会计政策变更</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重要会计估计变更</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2025年起首次执行新会计准则调整首次执行当年年初财务报表相关项目情况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44、其他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六、税项</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1、主要税种及税率</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税种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计税依据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按税法规定计算的销售货物和应税劳务收入为基础计算销项税额，在扣除当期允许抵扣的进项税额后，差额部分为应交增值税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电力、粉煤灰产品收入13%、热力产品收入9%、服务类收入6%、不动产租赁收入5%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按实际缴纳的增值税计缴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按应纳税所得额计缴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详见下表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大气污染物按照污染物排放量折合的污染当量数确定，水污染物按照污染物排放量折合的污染当量数确定，固体废物按照固体废物的排放量确定</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大气污染1.2-12元/污染当量，水污染1.4-14元/污染当量，固定废物25元/吨</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存在不同企业所得税税率纳税主体的，披露情况说明</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纳税主体名称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所得税税率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国能长源湖北新能源有限公司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中华山一期、乐城山一期</w:t>
            </w:r>
            <w:r>
              <w:rPr>
                <w:rFonts w:hint="default" w:ascii="Times New Roman" w:hAnsi="Times New Roman"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吉阳山风电项目税率25%，中华山二期</w:t>
            </w:r>
            <w:r>
              <w:rPr>
                <w:rFonts w:hint="default" w:ascii="Times New Roman" w:hAnsi="Times New Roman" w:cs="Times New Roman"/>
                <w:color w:val="auto"/>
                <w:sz w:val="18"/>
                <w:szCs w:val="18"/>
                <w:highlight w:val="none"/>
                <w:lang w:eastAsia="zh-CN"/>
              </w:rPr>
              <w:t>、</w:t>
            </w:r>
            <w:r>
              <w:rPr>
                <w:rFonts w:hint="default" w:ascii="Times New Roman" w:hAnsi="Times New Roman" w:eastAsia="宋体" w:cs="Times New Roman"/>
                <w:color w:val="auto"/>
                <w:sz w:val="18"/>
                <w:szCs w:val="18"/>
                <w:highlight w:val="none"/>
              </w:rPr>
              <w:t>乐城山二期风电项目税率12.5%</w:t>
            </w:r>
            <w:r>
              <w:rPr>
                <w:rFonts w:hint="default" w:ascii="Times New Roman" w:hAnsi="Times New Roman" w:cs="Times New Roman"/>
                <w:color w:val="auto"/>
                <w:sz w:val="18"/>
                <w:szCs w:val="18"/>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华严农场光伏发电项目、麻河200MW光伏发电项目、分水200MW光伏发电项目一期、华严200MW光伏发电项目免税。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国能长源青山热电有限公司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岚图光伏项目税率12.5%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国能长源石首综合能源有限公司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国能长源公安县新能源有限公司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国能长源安陆新能源有限公司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国能长源随县新能源有限公司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国能长源荆门屈家岭新能源有限公司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国能长源钟祥新能源有限公司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国能长源巴东新能源有限公司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国能长源新能源开发（江陵县）有限公司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免税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国能长源恩施水电开发有限公司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本公司及除上述外其他合并范围内子公司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2、税收优惠</w:t>
      </w:r>
    </w:p>
    <w:p>
      <w:pPr>
        <w:pStyle w:val="4"/>
        <w:keepNext w:val="0"/>
        <w:keepLines w:val="0"/>
        <w:widowControl/>
        <w:suppressLineNumbers w:val="0"/>
        <w:spacing w:before="100" w:beforeAutospacing="0" w:after="10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根据国家税务总局关于实施国家重点扶持的公共基础设施项目企业所得税优惠问题的通知（国税发〔2009〕80号），本公司下属子公司国能长源湖北新能源有限公司所属的乐城山一期风电场2017年至2019年免征企业所得税，2020年至2022年按12.5%税率减半征收企业所得税；吉阳山风电场2019年至2021年免征企业所得税，2022年至2024年按12.5%税率减半征收企业所得税；中华山二期风电场2020年至2022年免征企业所得税，2023年至2025年按12.5%税率减半征收企业所得税；乐城山二期风电厂场2022年至2024年免征企业所得税，2025-2027年按12.5%税率减半征收企业所得税。本公司下属子公司国能长源汉川发电有限公司所属华严农场光伏发电项目、麻河200MW光伏发电项目2023年至2025年免征企业所得税，2026年至2028年按12.5%税率减半征收企业所得税；分水200MW光伏发电项目一期、华严200MW光伏发电项目2024年至2026年免征企业所得税，2027年至2029年按12.5%税率减半征收企业所得税。本公司下属子公司国能长源青山热电有限公司所属岚图光伏项目2022年至2024年免征企业所得税，2025年至2027年按12.5%税率减半征收企业所得税。</w:t>
      </w:r>
    </w:p>
    <w:p>
      <w:pPr>
        <w:pStyle w:val="4"/>
        <w:keepNext w:val="0"/>
        <w:keepLines w:val="0"/>
        <w:widowControl/>
        <w:suppressLineNumbers w:val="0"/>
        <w:spacing w:before="100" w:beforeAutospacing="0" w:after="10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下属子公司国能长源汉川新能源有限公司、国能长源荆门新能源有限公司、国能长源石首综合能源有限公司、国能长源公安县新能源有限公司2022年至2024年免征企业所得税，2025-2027年按12.5%税率减半征收企业所得税。</w:t>
      </w:r>
    </w:p>
    <w:p>
      <w:pPr>
        <w:pStyle w:val="4"/>
        <w:keepNext w:val="0"/>
        <w:keepLines w:val="0"/>
        <w:widowControl/>
        <w:suppressLineNumbers w:val="0"/>
        <w:spacing w:before="100" w:beforeAutospacing="0" w:after="10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下属子公司国能长源安陆新能源有限公司、国能长源随县新能源有限公司、国能长源荆门屈家岭新能源有限公司、国能长源谷城新能源有限公司、国能长源钟祥新能源有限公司2023年至2025年免征企业所得税，2026-2028年按12.5%税率减半征收企业所得税。</w:t>
      </w:r>
    </w:p>
    <w:p>
      <w:pPr>
        <w:pStyle w:val="4"/>
        <w:keepNext w:val="0"/>
        <w:keepLines w:val="0"/>
        <w:widowControl/>
        <w:suppressLineNumbers w:val="0"/>
        <w:spacing w:before="100" w:beforeAutospacing="0" w:after="10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下属子公司国能长源荆州新能源有限公司、国能长源巴东新能源有限公司、国能长源潜江新能源有限公司、国能长源新能源开发（江陵县）有限公司2024年至2026年免征企业所得税，2027至2029年按12.5%税率减半征收企业所得税。</w:t>
      </w:r>
    </w:p>
    <w:p>
      <w:pPr>
        <w:pStyle w:val="4"/>
        <w:keepNext w:val="0"/>
        <w:keepLines w:val="0"/>
        <w:widowControl/>
        <w:suppressLineNumbers w:val="0"/>
        <w:spacing w:before="100" w:beforeAutospacing="0" w:after="10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根据财政部、国家税务总局发布的国家发展改革委关于延续西部大开发企业所得税政策的公告（财务部公告〔2020〕23号），本公司下属子公司国能长源恩施水电开发有限公司自2021年1月1日至2030年12月31日按照15%的税率征收企业所得税。</w:t>
      </w:r>
    </w:p>
    <w:p>
      <w:pPr>
        <w:pStyle w:val="4"/>
        <w:keepNext w:val="0"/>
        <w:keepLines w:val="0"/>
        <w:widowControl/>
        <w:suppressLineNumbers w:val="0"/>
        <w:spacing w:before="100" w:beforeAutospacing="0" w:after="10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（3）本公司下属子公司国能长源湖北新能源有限公司根据《关于风力发电增值税政策的通知》（财税〔2015〕74号），对利用风力生产的电力产品，享受增值税即征即退50%的税收优惠政策。</w:t>
      </w:r>
    </w:p>
    <w:p>
      <w:pPr>
        <w:pStyle w:val="4"/>
        <w:keepNext w:val="0"/>
        <w:keepLines w:val="0"/>
        <w:widowControl/>
        <w:suppressLineNumbers w:val="0"/>
        <w:spacing w:before="100" w:beforeAutospacing="0" w:after="10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本公司下属子公司国能长源荆州热电有限公司、国能长源随州发电有限公司、国电长源汉川第一发电有限公司根据《中华人民共和国企业所得税法》第三十四条规定，享受节能节水和安全生产专用设备投资额抵免所得税优惠。</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七、合并财务报表项目注释</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1、货币资金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67,310,709.45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69,438,082.04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771,228.58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770,228.58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存放财务公司款项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206,775,274.34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160,246,092.12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274,857,212.37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230,454,402.74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注：受限制的货币资金详见七、31所有权或使用权受限制的资产。</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2、交易性金融资产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3、衍生金融资产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4、应收票据</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应收票据分类列示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银行承兑票据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按坏账计提方法分类披露</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按单项计提坏账准备的应收票据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按组合计提坏账准备的应收票据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银行承兑汇票</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18,245,322.61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24,609,859.88</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如是按照预期信用损失一般模型计提应收票据坏账准备：</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本期计提、收回或转回的坏账准备情况</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本期计提坏账准备情况：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期末公司已质押的应收票据</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期末已质押金额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期末公司已背书或贴现且在资产负债表日尚未到期的应收票据</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期末未终止确认金额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 本期实际核销的应收票据情况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其中重要的应收票据核销情况：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应收票据性质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应收票据核销说明：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5、应收账款</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按账龄披露</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1,320,265,388.65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2,174,490,277.52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126,327,094.50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125,084,151.81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41,688,833.72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4,823,180.05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38,790,996.97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38,071,598.35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33,191,417.23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35,799,739.15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3,327,720.54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2,271,859.20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2,271,859.20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1,527,072,313.84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2,342,469,207.73</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按坏账计提方法分类披露</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1,527,072,313.84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56,679,290.07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1,470,393,023.77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2,342,469,207.73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46,135,292.94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2,296,333,914.79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应收国家电网公司电费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1,366,920,097.90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89.51%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46,390,511.17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1,320,529,586.73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2,183,169,640.99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38,149,237.50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2,145,020,403.49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无回收风险应收款项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23,562,869.38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23,562,869.38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62,141,600.81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62,141,600.81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其他款项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136,589,346.56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10,288,778.90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126,300,567.66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97,157,965.93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7,986,055.44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89,171,910.49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1,527,072,313.84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56,679,290.07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1,470,393,023.77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2,342,469,207.73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46,135,292.94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2,296,333,914.79</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按组合计提坏账准备类别名称：</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应收国家电网公司电费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1,366,920,097.90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46,390,511.17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无回收风险应收款项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23,562,869.38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其他款项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136,589,346.56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10,288,778.90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1,527,072,313.84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56,679,290.07</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确定该组合依据的说明：</w:t>
      </w:r>
    </w:p>
    <w:p>
      <w:pPr>
        <w:pStyle w:val="4"/>
        <w:keepNext w:val="0"/>
        <w:keepLines w:val="0"/>
        <w:widowControl/>
        <w:suppressLineNumbers w:val="0"/>
        <w:spacing w:before="100" w:beforeAutospacing="0" w:after="100" w:afterAutospacing="0"/>
        <w:ind w:left="0" w:right="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详见第十节财务报告“五、13、应收账款”</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如是按照预期信用损失一般模型计提应收账款坏账准备：</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本期计提、收回或转回的坏账准备情况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本期计提坏账准备情况：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应收国家电网公司电费</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38,149,237.50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8,241,273.67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46,390,511.17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其他款项</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7,986,055.44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2,302,723.46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10,288,778.90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46,135,292.94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10,543,997.13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56,679,290.07</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0" w:lineRule="exact"/>
        <w:jc w:val="left"/>
        <w:rPr>
          <w:rFonts w:hint="default" w:ascii="Times New Roman" w:hAnsi="Times New Roman" w:cs="Times New Roman"/>
          <w:color w:val="auto"/>
          <w:highlight w:val="none"/>
        </w:rPr>
      </w:pP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本期实际核销的应收账款情况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其中重要的应收账款核销情况：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应收账款核销说明：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按欠款方归集的期末余额前五名的应收账款和合同资产情况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应收账款和合同资产期末余额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占应收账款和合同资产期末余额合计数的比例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应收账款坏账准备和合同资产减值准备期末余额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国网湖北省电力有限公司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1,366,920,097.90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1,366,920,097.90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46,390,511.17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武汉市东西湖区能源有限公司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60,245,796.00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60,245,796.00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3,614,747.76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武汉钢铁有限公司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30,297,052.32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30,297,052.32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1,817,823.14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湖北银鹭食品有限公司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21,190,235.21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21,190,235.21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1,271,414.11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11,030,221.17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11,030,221.17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1,489,683,402.60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1,489,683,402.60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97.55%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53,094,496.18</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6、合同资产</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合同资产情况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报告期内账面价值发生的重大变动金额和原因</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变动原因</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按坏账计提方法分类披露</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按预期信用损失一般模型计提坏账准备</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本期计提、收回或转回的坏账准备情况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本期收回或转回</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本期转销/核销</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原因</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本期实际核销的合同资产情况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其中重要的合同资产核销情况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合同资产核销说明：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7、应收款项融资</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应收款项融资分类列示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按坏账计提方法分类披露</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按预期信用损失一般模型计提坏账准备</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各阶段划分依据和坏账准备计提比例</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对本期发生损失准备变动的应收款项融资账面余额显著变动的情况说明：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本期计提、收回或转回的坏账准备的情况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期末公司已质押的应收款项融资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期末已质押金额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期末公司已背书或贴现且在资产负债表日尚未到期的应收款项融资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期末终止确认金额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期末未终止确认金额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 本期实际核销的应收款项融资情况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0" w:after="0" w:line="0" w:lineRule="exact"/>
        <w:jc w:val="left"/>
        <w:rPr>
          <w:rFonts w:hint="default" w:ascii="Times New Roman" w:hAnsi="Times New Roman" w:cs="Times New Roman"/>
          <w:color w:val="auto"/>
          <w:highlight w:val="none"/>
        </w:rPr>
      </w:pP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其中重要的应收款项融资核销情况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 应收款项融资本期增减变动及公允价值变动情况</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 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8、其他应收款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1,149,035.10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14,278,503.19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16,674,148.80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15,427,538.29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16,674,148.80</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应收利息</w:t>
      </w:r>
    </w:p>
    <w:p>
      <w:pPr>
        <w:keepNext/>
        <w:keepLines/>
        <w:spacing w:before="300" w:after="300" w:line="280" w:lineRule="exact"/>
        <w:jc w:val="left"/>
        <w:outlineLvl w:val="4"/>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应收利息分类</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keepNext/>
        <w:keepLines/>
        <w:spacing w:before="300" w:after="300" w:line="280" w:lineRule="exact"/>
        <w:jc w:val="left"/>
        <w:outlineLvl w:val="4"/>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重要逾期利息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是否发生减值及其判断依据</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4"/>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按坏账计提方法分类披露</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本期计提、收回或转回的坏账准备的情况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5） 本期实际核销的应收利息情况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其中重要的应收利息核销情况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应收股利</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应收股利分类</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国能大渡河（咸丰）小河水电有限公司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1,149,035.10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1,149,035.10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重要的账龄超过1年的应收股利</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是否发生减值及其判断依据</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按坏账计提方法分类披露</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本期计提、收回或转回的坏账准备的情况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5） 本期实际核销的应收股利情况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其中重要的应收股利核销情况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其他应收款</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其他应收款按款项性质分类情况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90,003.33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26,943.37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保证金、押金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7,041,978.00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7,038,178.00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其他单位间往来款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293,944,562.95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293,946,632.24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26,625,942.25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29,374,678.53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327,702,486.53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330,386,432.14</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按账龄披露</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5,843,746.03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7,137,700.23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2,947,823.15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2,591,243.20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949,362.08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7,231,575.68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317,961,555.27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313,425,913.03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14,218,970.85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9,620,812.45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4,371,547.99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4,567,482.05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299,371,036.43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299,237,618.53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327,702,486.53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330,386,432.14</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按坏账计提方法分类披露</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90.45%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89.71%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31,309,120.00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17,030,616.81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54.40%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14,278,503.19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33,993,065.61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17,318,916.81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16,674,148.80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无回收风险应收款项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8,667,278.33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8,667,278.33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9,804,840.17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9,804,840.17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其他款项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22,641,841.67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17,030,616.81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5,611,224.86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24,188,225.44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17,318,916.81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71.60%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6,869,308.63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327,702,486.53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313,423,983.34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14,278,503.19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330,386,432.14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313,712,283.34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16,674,148.80</w:t>
            </w: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按单项计提坏账准备类别名称：</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国电长源河南煤业有限公司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对方单位已破产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河南东升煤业有限公司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对方单位已破产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恩施市住房和城乡建设局</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6,325,047.84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6,325,047.84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6,325,047.84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6,325,047.84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款项超过规定时间未支付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禹州市安兴煤业有限公司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对方单位已破产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禹州市兴华煤业有限公司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对方单位已破产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按预期信用损失一般模型计提坏账准备：</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17,318,916.81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313,712,283.34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-288,300.00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-288,300.00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17,030,616.81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313,423,983.34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各阶段划分依据和坏账准备计提比例</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损失准备本期变动金额重大的账面余额变动情况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本期计提、收回或转回的坏账准备情况</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本期计提坏账准备情况：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296,393,366.53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17,318,916.81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-288,300.00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17,030,616.81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313,712,283.34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-288,300.00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313,423,983.34</w:t>
            </w:r>
          </w:p>
        </w:tc>
      </w:tr>
    </w:tbl>
    <w:p>
      <w:pPr>
        <w:spacing w:before="100" w:after="100" w:line="0" w:lineRule="exact"/>
        <w:jc w:val="left"/>
        <w:rPr>
          <w:rFonts w:hint="default" w:ascii="Times New Roman" w:hAnsi="Times New Roman" w:cs="Times New Roman"/>
          <w:color w:val="auto"/>
          <w:highlight w:val="none"/>
        </w:rPr>
      </w:pP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其中本期坏账准备转回或收回金额重要的：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0" w:lineRule="exact"/>
        <w:jc w:val="left"/>
        <w:rPr>
          <w:rFonts w:hint="default" w:ascii="Times New Roman" w:hAnsi="Times New Roman" w:cs="Times New Roman"/>
          <w:color w:val="auto"/>
          <w:highlight w:val="none"/>
        </w:rPr>
      </w:pP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5） 本期实际核销的其他应收款情况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其中重要的其他应收款核销情况：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其他应收款核销说明：</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6） 按欠款方归集的期末余额前五名的其他应收款情况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国电长源河南煤业有限公司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4-5年180,000.00；5年以上272,780,689.41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河南东升煤业有限公司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河南省新郑煤炭集运站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7,218,389.62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5年以上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7,218,389.62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恩施市住房和城乡建设局</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电量赔偿款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6,325,047.84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6,325,047.84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禹州市兴华煤业有限公司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2-3年178,074.39；3-4年763,437.40;4-5年2,276,801.35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300,572,240.01</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300,572,240.01</w:t>
            </w:r>
          </w:p>
        </w:tc>
      </w:tr>
    </w:tbl>
    <w:p>
      <w:pPr>
        <w:keepNext/>
        <w:keepLines/>
        <w:spacing w:before="300" w:after="300" w:line="280" w:lineRule="exact"/>
        <w:jc w:val="left"/>
        <w:outlineLvl w:val="4"/>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 因资金集中管理而列报于其他应收款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9、预付款项</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预付款项按账龄列示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1年以内</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612,318,382.98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99.63%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463,959,071.82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1至2年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1,742,057.78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524,922.99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2至3年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24,492.58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297,948.42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3年以上</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487,920.13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387,906.79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614,572,853.47</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465,169,850.02</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账龄超过1年且金额重要的预付款项未及时结算原因的说明：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按预付对象归集的期末余额前五名的预付款情况</w:t>
      </w:r>
    </w:p>
    <w:tbl>
      <w:tblPr>
        <w:tblStyle w:val="5"/>
        <w:tblW w:w="7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82"/>
        <w:gridCol w:w="1879"/>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3975" w:type="dxa"/>
            <w:tcBorders>
              <w:top w:val="single" w:color="auto" w:sz="8" w:space="0"/>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预付对象</w:t>
            </w:r>
          </w:p>
        </w:tc>
        <w:tc>
          <w:tcPr>
            <w:tcW w:w="1875" w:type="dxa"/>
            <w:tcBorders>
              <w:top w:val="single" w:color="auto" w:sz="8" w:space="0"/>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期末余额</w:t>
            </w:r>
          </w:p>
        </w:tc>
        <w:tc>
          <w:tcPr>
            <w:tcW w:w="1875" w:type="dxa"/>
            <w:tcBorders>
              <w:top w:val="single" w:color="auto" w:sz="8" w:space="0"/>
              <w:left w:val="nil"/>
              <w:bottom w:val="single" w:color="auto" w:sz="8" w:space="0"/>
              <w:right w:val="single" w:color="auto" w:sz="8" w:space="0"/>
            </w:tcBorders>
            <w:shd w:val="clear" w:color="auto" w:fill="auto"/>
            <w:tcMar>
              <w:bottom w:w="0"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占预付款项期末余额合计数的比例</w:t>
            </w:r>
            <w:r>
              <w:rPr>
                <w:rFonts w:hint="default" w:ascii="Times New Roman" w:hAnsi="Times New Roman" w:cs="Times New Roman"/>
                <w:i w:val="0"/>
                <w:iCs w:val="0"/>
                <w:color w:val="auto"/>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trPr>
        <w:tc>
          <w:tcPr>
            <w:tcW w:w="3982"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国能销售集团有限公司华中分公司</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307,834,291.50</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50.09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trPr>
        <w:tc>
          <w:tcPr>
            <w:tcW w:w="3982"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山西科兴能源发展有限公司</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79,781,491.17</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trPr>
        <w:tc>
          <w:tcPr>
            <w:tcW w:w="3982"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国能易购（北京）科技有限公司</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54,944,925.54</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trPr>
        <w:tc>
          <w:tcPr>
            <w:tcW w:w="3982"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国家能源集团新疆能源化工有限公司</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52,615,318.28</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trPr>
        <w:tc>
          <w:tcPr>
            <w:tcW w:w="3982" w:type="dxa"/>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山西潞安环保能源开发股份有限公司</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27,895,064.12</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trPr>
        <w:tc>
          <w:tcPr>
            <w:tcW w:w="0" w:type="auto"/>
            <w:tcBorders>
              <w:top w:val="nil"/>
              <w:left w:val="single" w:color="auto" w:sz="8" w:space="0"/>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合计</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523,071,090.61</w:t>
            </w:r>
          </w:p>
        </w:tc>
        <w:tc>
          <w:tcPr>
            <w:tcW w:w="1879" w:type="dxa"/>
            <w:tcBorders>
              <w:top w:val="nil"/>
              <w:left w:val="nil"/>
              <w:bottom w:val="single" w:color="auto" w:sz="8" w:space="0"/>
              <w:right w:val="single" w:color="auto" w:sz="8" w:space="0"/>
            </w:tcBorders>
            <w:shd w:val="clear" w:color="auto" w:fill="auto"/>
            <w:noWrap/>
            <w:tcMar>
              <w:bottom w:w="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85.11</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10、存货</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公司是否需要遵守房地产行业的披露要求</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存货分类</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存货跌价准备或合同履约成本减值准备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726,182,196.02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726,182,196.02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953,797,987.99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417,015.63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953,380,972.36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低值易耗品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148,543.27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148,543.27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681.79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681.79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726,330,739.29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726,330,739.29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953,798,669.78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417,015.63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953,381,654.15</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确认为存货的数据资源</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外购的数据资源存货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自行加工的数据资源存货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其他方式取得的数据资源存货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存货跌价准备和合同履约成本减值准备</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本期增加金额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转回或转销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原材料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417,015.63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417,015.63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417,015.63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417,015.63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按组合计提存货跌价准备</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组合名称</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跌价准备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跌价准备计提比例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跌价准备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跌价准备计提比例</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按组合计提存货跌价准备的计提标准</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存货期末余额含有借款费用资本化金额的说明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合同履约成本本期摊销金额的说明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11、持有待售资产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公允价值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预计处置费用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预计处置时间</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12、一年内到期的非流动资产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一年内到期的债权投资</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一年内到期的其他债权投资</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13、其他流动资产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待抵扣增值税进项税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889,284,785.44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771,723,068.66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预缴税金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51,027,221.78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3,417,481.18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940,312,007.22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775,140,549.84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14、债权投资</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债权投资的情况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债权投资减值准备本期变动情况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期末重要的债权投资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债权项目</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逾期本金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逾期本金</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减值准备计提情况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各阶段划分依据和坏账准备计提比例</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本期实际核销的债权投资情况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其中重要的债权投资核销情况</w:t>
      </w:r>
    </w:p>
    <w:p>
      <w:pPr>
        <w:spacing w:before="0" w:after="0" w:line="0" w:lineRule="exact"/>
        <w:jc w:val="left"/>
        <w:rPr>
          <w:rFonts w:hint="default" w:ascii="Times New Roman" w:hAnsi="Times New Roman" w:cs="Times New Roman"/>
          <w:color w:val="auto"/>
          <w:highlight w:val="none"/>
        </w:rPr>
      </w:pP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债权投资核销说明：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损失准备本期变动金额重大的账面余额变动情况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15、其他债权投资</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其他债权投资的情况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应计利息</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利息调整</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本期公允价值变动</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成本</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累计公允价值变动</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累计在其他综合收益中确认的减值准备</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备注</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其他债权投资减值准备本期变动情况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期末重要的其他债权投资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其他债权项目</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逾期本金</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面值</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票面利率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实际利率</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到期日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逾期本金</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减值准备计提情况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各阶段划分依据和坏账准备计提比例</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本期实际核销的其他债权投资情况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其中重要的其他债权投资核销情况</w:t>
      </w:r>
    </w:p>
    <w:p>
      <w:pPr>
        <w:spacing w:before="0" w:after="0" w:line="0" w:lineRule="exact"/>
        <w:jc w:val="left"/>
        <w:rPr>
          <w:rFonts w:hint="default" w:ascii="Times New Roman" w:hAnsi="Times New Roman" w:cs="Times New Roman"/>
          <w:color w:val="auto"/>
          <w:highlight w:val="none"/>
        </w:rPr>
      </w:pP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其他债权投资核销说明：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损失准备本期变动金额重大的账面余额变动情况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16、其他权益工具投资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本期计入其他综合收益的利得</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本期计入其他综合收益的损失</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本期末累计计入其他综合收益的利得</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本期末累计计入其他综合收益的损失</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本期确认的股利收入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指定为以公允价值计量且其变动计入其他综合收益的原因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非交易性权益工具</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5,098,998.98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31,992,296.68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5,098,998.98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31,992,296.68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本期存在终止确认</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转入留存收益的累计利得</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转入留存收益的累计损失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终止确认的原因</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分项披露本期非交易性权益工具投资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确认的股利收入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累计利得</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累计损失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其他综合收益转入留存收益的金额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指定为以公允价值计量且其变动计入其他综合收益的原因</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其他综合收益转入留存收益的原因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湖北碳排放权交易中心有限公司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3,943,212.59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属于公司战略规划长期持有、非短期出售的权益投资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武汉高新热电有限责任公司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属于公司战略规划长期持有、非短期出售的权益投资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湖北电力交易中心有限公司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1,155,786.39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属于公司战略规划长期持有、非短期出售的权益投资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大连经济技术开发区电协科技开发公司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属于公司战略规划长期持有、非短期出售的权益投资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湖北中新电力开发有限公司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16,792,296.68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属于公司战略规划长期持有、非短期出售的权益投资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17、长期应收款</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长期应收款情况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615"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折现率区间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按坏账计提方法分类披露</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1"/>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按预期信用损失一般模型计提坏账准备</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各阶段划分依据和坏账准备计提比例</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本期计提、收回或转回的坏账准备的情况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其中本期坏账准备转回或收回金额重要的：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本期实际核销的长期应收款情况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其中重要的长期应收款核销情况：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长期应收款核销说明：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18、长期股权投资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被投资单位</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减值准备期初余额</w:t>
            </w:r>
          </w:p>
        </w:tc>
        <w:tc>
          <w:tcPr>
            <w:tcW w:w="5932"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本期增减变动</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追加投资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减少投资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权益法下确认的投资损益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其他综合收益调整</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其他权益变动</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宣告发放现金股利或利润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计提减值准备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武汉华工创业投资有限责任公司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143,100,901.14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367,800.22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143,468,701.36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河南东升煤业有限公司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国能大渡河咸丰小河水电有限公司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24,960,568.44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721,017.67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1,149,035.10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24,532,551.01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湖北咸丰朝阳寺电业有限责任公司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50,475,746.90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5,142,639.10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55,618,386.00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湖北省巴东县沿渡河电业发展有限公司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14,487,299.62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-5,010,250.00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9,477,049.62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湖北鹤峰桃花山水电有限责任公司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40,908,370.26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3,397,528.25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2,875,739.38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41,430,159.13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29,475,014.64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-6,388,059.64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23,086,955.00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小计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388,316,238.34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-1,769,324.40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4,024,774.48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382,522,139.46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388,316,238.34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-1,769,324.40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4,024,774.48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382,522,139.46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可收回金额按公允价值减去处置费用后的净额确定</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可收回金额按预计未来现金流量的现值确定</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前述信息与以前年度减值测试采用的信息或外部信息明显不一致的差异原因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公司以前年度减值测试采用信息与当年实际情况明显不一致的差异原因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spacing w:before="100" w:beforeAutospacing="0" w:after="100" w:afterAutospacing="0"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（1）国电长源河南煤业有限公司为公司原控股子公司，主要从事煤炭投资、经营业务。2018 年11月底河南煤业已停止营业，且严重资不抵债，为避免损失扩大，经公司于2018年12月21日召开的第八届董事会第22次会议审议通过按照《破产法》等有关法律法规的规定，对河南煤业实施破产清算；2019年7月24日许昌市中级人民法院裁定受理公司对河南煤业提出的破产清算申请，2019年12月公司将河南煤业有关印章、证照、资产和会计档案全部移交给破产管理人，公司对其不再控制，河南煤业及其子公司不再纳入公司合并范围；2021年1月12日公司收到河南省禹州市人民法院（2019）豫1081民破2号之一至四《民事裁定书》，按照《中华人民共和国企业破产法》的有关规定，经禹州法院审查，河南煤业无法清偿到期债务，且其资产不足以清偿全部债务，符合破产条件，宣告河南煤业破产，根据禹州法院确认的《国电长源河南煤业有限公司财产分配与追加财产分配方案》，河南煤业第一次破产财产分配全部用于支付破产费用，债权人未获清偿；2019年公司已对河南煤业的长期股权投资全额计提减值准备。</w:t>
      </w:r>
    </w:p>
    <w:p>
      <w:pPr>
        <w:pStyle w:val="4"/>
        <w:keepNext w:val="0"/>
        <w:keepLines w:val="0"/>
        <w:widowControl/>
        <w:suppressLineNumbers w:val="0"/>
        <w:spacing w:before="100" w:beforeAutospacing="0" w:after="100" w:afterAutospacing="0"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国电长源河南煤业有限公司全资子公司禹州市安兴煤业有限公司和禹州市兴华煤业有限公司的煤矿，由于长期停工停产被河南省列为2017年内拟关闭退出矿井，根据国务院关于煤炭行业化解过剩产能实现脱困发展的意见，同时经公司2017年第八届董事会第十一次会议和2017年第二次临时股东大会审议通过，安兴煤业、兴华煤业将其分别所属的安兴煤矿和兴华煤矿各自30万吨/年，合计60万吨/年的关闭退出产能指标转让给关联方锡林郭勒盟锡林浩特煤矿，所有生产设施已按国资委的要求封闭、拆除； 2018年12月4日，国务院国资委已对两矿“去产能”工作进行了现场验收，安兴煤业、兴华煤业已不具备煤炭生产的条件；2020年11月禹州法院受理了安兴煤业和兴华煤业进行破产清算申请；2022 年 4 月 18 日，公司收到禹州法院（2020）豫 1081 民破 1 号、2 号《决定书》，指定河南兴达破产清算服务有限公司担任安兴煤业破产管理人，指定河南世纪通律师事务所担任兴华煤业破产管理人；2022 年 8 月至2023年1月期间，公司分别收到禹州法院（2020）豫 1081 民破 1 、2 号之二、三、四号《民事裁定书》，经禹州法院审查，安兴煤业及兴华煤业无法清偿到期债务，且其资产不足以清偿其全部债务，符合破产条件，宣告安兴煤业及兴华煤业破产，法院已认可破产管理人制定的财产分配方案，已先行终结破产清算程序，但继续保留管理人履行职责。报告期内，安兴、兴华煤业已完成清算注销，但保留管理人账户用于回收政府退还的安兴、兴华煤业剩余资源价款，截止2025年6月30日，安兴煤业及兴华煤业破产财产分配工作尚未处理完毕。</w:t>
      </w:r>
    </w:p>
    <w:p>
      <w:pPr>
        <w:pStyle w:val="4"/>
        <w:keepNext w:val="0"/>
        <w:keepLines w:val="0"/>
        <w:widowControl/>
        <w:suppressLineNumbers w:val="0"/>
        <w:spacing w:before="100" w:beforeAutospacing="0" w:after="100" w:afterAutospacing="0"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（3）河南东升煤业有限公司为本公司联营企业，主要从事煤矿投资、 煤炭生产业务，公司持有其 40%的股权，东升煤业所属东升煤矿安全生产条件不完善，安全改造投入较大，生产没有经济效益，长期停工停产，符合河南省政府规定的“应予关闭退出”煤矿的有关规定，被河南省列为 2017 年内拟关闭退出矿井。东升煤业于2019 年 6月河南省郑州市中级人民法院受理其破产清算一案后进入破产清算程序，2021年7月公司收到东升煤业破产管理人转来的破产管辖法院河南省郑州市中级人民法院（2019）豫01破24号之四《民事裁定书》，该裁定书载明法院认可东升煤业管理人编制的《河南东升煤业有限公司破产财产分配方案》，根据破产管理人的请求终结东升煤业的破产程序，但保留管理人处理遗留问题，截止2025年6月30日，东升煤业破产财产分配工作尚未处理完毕。2015年公司已对东升煤业的长期股权投资全额计提减值准备。</w:t>
      </w:r>
    </w:p>
    <w:p>
      <w:pPr>
        <w:pStyle w:val="4"/>
        <w:keepNext w:val="0"/>
        <w:keepLines w:val="0"/>
        <w:widowControl/>
        <w:suppressLineNumbers w:val="0"/>
        <w:spacing w:before="100" w:beforeAutospacing="0" w:after="100" w:afterAutospacing="0" w:line="36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（4）国电武汉燃料有限公司由于超额亏损，其账面价值已减至零，具体详见第十节财务报告十、3.（6）合营企业或联营企业发生的超额亏损。</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19、其他非流动金融资产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20、投资性房地产</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采用成本计量模式的投资性房地产</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房屋、建筑物</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土地使用权</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在建工程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一、账面原值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208,841,767.95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208,841,767.95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（1）外购</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（2）存货\固定资产\在建工程转入</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（3）企业合并增加</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（2）其他转出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208,841,767.95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208,841,767.95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二、累计折旧和累计摊销</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80,419,535.29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80,419,535.29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2,925,070.89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2,925,070.89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（1）计提或摊销</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2,925,070.89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2,925,070.89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（2）其他转出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83,344,606.18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83,344,606.18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三、减值准备</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（1）计提</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（2）其他转出</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1.期末账面价值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125,497,161.77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125,497,161.77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2.期初账面价值</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128,422,232.66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128,422,232.66</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可收回金额按公允价值减去处置费用后的净额确定</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可收回金额按预计未来现金流量的现值确定</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前述信息与以前年度减值测试采用的信息或外部信息明显不一致的差异原因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公司以前年度减值测试采用信息与当年实际情况明显不一致的差异原因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采用公允价值计量模式的投资性房地产</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转换为投资性房地产并采用公允价值计量</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转换前核算科目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转换理由</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审批程序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对损益的影响</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对其他综合收益的影响</w:t>
            </w:r>
          </w:p>
        </w:tc>
      </w:tr>
    </w:tbl>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未办妥产权证书的投资性房地产情况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未办妥产权证书原因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房屋、建筑物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325,958.45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土地及房屋所属权不一致导致无法办证</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21、固定资产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27,783,431,699.66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27,360,987,665.54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固定资产清理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2,447,230.15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8,257,391.81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27,785,878,929.81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27,369,245,057.35</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固定资产情况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房屋及建筑物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机器设备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运输设备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其他设备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一、账面原值：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11,821,535,810.09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34,124,939,770.48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123,307,992.09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424,368,527.51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46,494,152,100.17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23,772,054.51</w:t>
            </w:r>
          </w:p>
        </w:tc>
        <w:tc>
          <w:tcPr>
            <w:tcW w:w="160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1,321,572,478.30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544,734.50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2,318,504.14</w:t>
            </w:r>
          </w:p>
        </w:tc>
        <w:tc>
          <w:tcPr>
            <w:tcW w:w="160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1,348,207,771.45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（1）购置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668,127.71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216,991.14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344,528.71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1,229,647.56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（2）在建工程转入</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13,248,698.03</w:t>
            </w:r>
          </w:p>
        </w:tc>
        <w:tc>
          <w:tcPr>
            <w:tcW w:w="160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1,320,706,804.73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88,982.30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1,928,665.70</w:t>
            </w:r>
          </w:p>
        </w:tc>
        <w:tc>
          <w:tcPr>
            <w:tcW w:w="160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1,335,973,150.76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（3）企业合并增加</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（4）价值调整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103,773.58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103,773.58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（5）重分类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10,523,356.48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93,772.28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45,309.73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10,662,438.49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238,761.06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238,761.06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18,303,334.29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17,634,239.73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1,566,141.33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912,710.47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38,416,425.82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14,700,845.62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1,218,920.11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1,520,831.60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97,277.53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17,537,874.86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（2）价值调整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3,602,488.67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5,725,106.05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9,327,594.72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（3）重分类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10,617,128.76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45,309.73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10,662,438.49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73,084.81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815,432.94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888,517.75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11,827,004,530.31</w:t>
            </w:r>
          </w:p>
        </w:tc>
        <w:tc>
          <w:tcPr>
            <w:tcW w:w="160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35,428,878,009.05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122,286,585.26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425,774,321.18</w:t>
            </w:r>
          </w:p>
        </w:tc>
        <w:tc>
          <w:tcPr>
            <w:tcW w:w="160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47,803,943,445.80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二、累计折旧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4,445,612,243.56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14,110,266,993.98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98,708,170.89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291,117,770.85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18,945,705,179.28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129,988,704.38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756,198,802.18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1,913,393.71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17,132,226.54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905,233,126.81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128,843,511.92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756,198,802.18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1,913,393.71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17,129,809.31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904,085,517.12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（2）价值调整</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（3）重分类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1,145,192.46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2,417.23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1,147,609.69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13,662,078.42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2,192,265.98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1,485,720.42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389,622.40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17,729,687.22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13,662,078.42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1,026,924.52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1,483,303.19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97,277.53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16,269,583.66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（2）重分类</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1,145,192.46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2,417.23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1,147,609.69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（3）其他</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20,149.00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292,344.87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312,493.87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4,561,938,869.52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14,864,273,530.18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99,135,844.18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307,860,374.99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19,833,208,618.87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三、减值准备</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129,171,696.32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58,103,404.05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46,851.39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137,303.59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187,459,255.35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（1）计提</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144,370.82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11,757.26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156,128.08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（1）处置或报废</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144,370.82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11,757.26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156,128.08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129,171,696.32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57,959,033.23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46,851.39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125,546.33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187,303,127.27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1.期末账面价值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7,135,893,964.47</w:t>
            </w:r>
          </w:p>
        </w:tc>
        <w:tc>
          <w:tcPr>
            <w:tcW w:w="160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20,506,645,445.64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23,103,889.69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117,788,399.86</w:t>
            </w:r>
          </w:p>
        </w:tc>
        <w:tc>
          <w:tcPr>
            <w:tcW w:w="160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27,783,431,699.66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2.期初账面价值</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7,246,751,870.21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19,956,569,372.45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24,552,969.81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133,113,453.07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27,360,987,665.54</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暂时闲置的固定资产情况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账面原值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累计折旧</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备注</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通过经营租赁租出的固定资产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期末账面价值</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未办妥产权证书的固定资产情况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房屋及建筑物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1,480,361,799.62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正在办理中</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固定资产的减值测试情况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 固定资产清理</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荆门发电厂#7发电机组部分设备改造报废处置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1,050,316.00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汉川一发电厂50m干煤棚、#3胶带输送机等资产报废处置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1,989,303.36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1,989,303.36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汉川发电厂原水泵、机械化采煤样器等资产报废处置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1,969,116.15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荆门发电厂A煤场报废资产转清理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2,513,944.38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荆门发电厂7#炉汽轮机报废资产转清理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276,785.13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恩施公司利川110KV长-蚂外送线路报废拆除</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416,146.79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416,146.79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十堰公司报废资产清理</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41,780.00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2,447,230.15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8,257,391.81</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22、在建工程</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4,281,526,623.07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3,251,876,731.95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工程物资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506,188,950.24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656,194,743.54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4,787,715,573.31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3,908,071,475.49</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在建工程情况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国能长源汉川市新能源百万千瓦基地二期项目</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109,470,046.42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109,470,046.42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214,411,605.19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214,411,605.19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国能长源汉川市新能源百万千瓦基地三期项目</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26,507,329.71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26,507,329.71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149,065,958.67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149,065,958.67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国能长源汉川四期2×100万千瓦扩建项目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3,622,135,354.46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3,622,135,354.46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1,468,073,127.91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1,468,073,127.91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湖北荆州松滋江西观抽水蓄能项目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325,643,835.61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325,643,835.61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钟祥北山抽水蓄能电站项目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48,751,083.03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48,751,083.03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45,973,555.27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45,973,555.27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国能长源随州市随县百万千瓦新能源多能互补基地一期项目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102,247,705.92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102,247,705.92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国能长源随州市随县百万千瓦新能源基地二期项目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123,743,183.42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123,743,183.42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伍家河六级、七级、白泉河等十二座电站综合自动化改造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249,037.16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249,037.16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国能长源谷城县盛康镇50MW农光互补光伏发电项目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53,633.62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53,633.62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37,613,045.01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37,613,045.01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国能长源潜江浩口200MW渔光互补光伏发电项目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84,520,572.51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84,520,572.51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国能长源谷城县冷集镇230MW农光互补光伏发电项目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34,446,521.05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34,446,521.05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413,856,569.12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413,856,569.12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国能长源荆州江陵54MW户用分布式光伏发电项目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20,249,380.46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20,249,380.46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其他项目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456,449,169.23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16,286,514.45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440,162,654.78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282,515,670.15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16,286,514.45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266,229,155.70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4,297,813,137.52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16,286,514.45</w:t>
            </w:r>
          </w:p>
        </w:tc>
        <w:tc>
          <w:tcPr>
            <w:tcW w:w="1377"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4,281,526,623.07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3,268,163,246.40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16,286,514.45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3,251,876,731.95</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重要在建工程项目本期变动情况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预算数</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本期转入固定资产金额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本期其他减少金额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工程累计投入占预算比例</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工程进度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利息资本化累计金额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其中：本期利息资本化金额</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本期利息资本化率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资金来源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国能长源汉川市新能源百万千瓦基地二期项目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3,045,080,000.00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214,411,605.19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64,649,682.00</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169,591,240.77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109,470,046.42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60.50%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8,384,694.08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154,063.70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国能长源汉川市新能源百万千瓦基地三期项目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2,087,060,000.00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149,065,958.67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52,022,487.35</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174,581,116.31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26,507,329.71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6,880,371.54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1,045,589.44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国能长源汉川四期2×100万千瓦扩建项目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7,345,200,000.00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1,468,073,127.91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2,154,062,226.55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3,622,135,354.46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78,689,878.31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28,582,336.31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国能长源随州市随县百万千瓦新能源多能互补基地一期项目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2,490,180,000.00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102,247,705.92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18,156,110.32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120,403,816.24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26,693,317.83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国能长源随州市随县百万千瓦新能源基地二期项目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576,590,000.00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123,743,183.42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52,214,159.43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175,583,099.45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374,243.40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57.10%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5,642,323.60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湖北荆州松滋江西观抽水蓄能项目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7,681,920,000.00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325,643,835.61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444,057.30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326,087,892.91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国能长源潜江浩口200MW渔光互补光伏发电项目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1,051,650,000.00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84,520,572.51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68,343,540.77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152,864,113.28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7,254,245.65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1,317,278.98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国能长源谷城县冷集镇230MW农光互补光伏发电项目</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1,102,430,000.00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413,856,569.12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14,116,157.62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393,526,205.69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34,446,521.05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60.33%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60.33%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4,236,847.04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2,245,109.81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25,380,110,000.00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2,881,562,558.35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2,424,008,421.34</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1,186,549,591.74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326,462,136.31</w:t>
            </w:r>
          </w:p>
        </w:tc>
        <w:tc>
          <w:tcPr>
            <w:tcW w:w="741"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3,792,559,251.64</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137,781,678.05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33,344,378.24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本期计提在建工程减值准备情况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荆门热电厂四期'大代小'前期项目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6,519,483.76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6,519,483.76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项目已停止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青山热电厂事故储灰库建设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245,283.02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245,283.02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项目已停止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青山热电厂烟囱白羽治理</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419,811.32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419,811.32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项目已停止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长源电力分布式生物质发电项目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1,934,542.67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1,934,542.67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项目已停止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青山热电厂能源保供项目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452,830.19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452,830.19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项目已停止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孝感路口电站</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6,173,054.07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6,173,054.07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项目已停止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生态流量泄放整改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71,698.12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71,698.12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项目已停止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马尾沟六级、龙桥增容初步设计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469,811.30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469,811.30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项目已停止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16,286,514.45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16,286,514.45</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在建工程的减值测试情况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工程物资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专用材料</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2,029,681.18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2,029,681.18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25,298.55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25,298.55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专用设备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504,159,269.06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504,159,269.06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656,169,444.99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656,169,444.99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506,188,950.24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506,188,950.24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656,194,743.54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656,194,743.54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23、生产性生物资产</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采用成本计量模式的生产性生物资产</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采用成本计量模式的生产性生物资产的减值测试情况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采用公允价值计量模式的生产性生物资产</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24、油气资产</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25、使用权资产</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使用权资产情况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房屋及建筑物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一、账面原值</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16,758,342.33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772,338,684.71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789,097,027.04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6,633,896.20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6,633,896.20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-新增租赁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6,633,896.20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6,633,896.20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2,613,981.47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2,613,981.47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2,613,981.47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2,613,981.47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14,144,360.86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778,972,580.91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793,116,941.77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二、累计折旧</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9,667,195.90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107,009,193.68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116,676,389.58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1,335,089.02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19,582,791.19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20,917,880.21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（1）计提</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1,335,089.02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19,582,791.19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20,917,880.21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1,742,654.33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1,742,654.33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1,742,654.33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1,742,654.33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9,259,630.59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126,591,984.87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135,851,615.46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三、减值准备</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（1）计提</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四、账面价值</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1.期末账面价值</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4,884,730.27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652,380,596.04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657,265,326.31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2.期初账面价值</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7,091,146.43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665,329,491.03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672,420,637.46</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使用权资产的减值测试情况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26、无形资产</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无形资产情况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土地使用权</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专利权</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非专利技术</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软件</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一、账面原值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897,223,977.73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45,001.51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84,853,493.85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484,022.33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982,606,495.42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93,025.00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93,025.00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（1）购置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93,025.00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93,025.00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（2）内部研发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（3）企业合并增加</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897,317,002.73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45,001.51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84,853,493.85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484,022.33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982,699,520.42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二、累计摊销</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104,872,073.11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36,598.00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59,131,289.20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62,480.24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164,102,440.55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8,911,343.25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2,523.44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2,025,910.47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24,201.09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10,963,978.25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（1）计提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8,911,343.25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2,523.44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2,025,910.47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24,201.09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10,963,978.25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113,783,416.36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39,121.44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61,157,199.67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86,681.33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175,066,418.80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三、减值准备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1.期初余额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2.本期增加金额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（1）计提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3.本期减少金额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4.期末余额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四、账面价值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1.期末账面价值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783,533,586.37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5,880.07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23,696,294.18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397,341.00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807,633,101.62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2.期初账面价值</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792,351,904.62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8,403.51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25,722,204.65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421,542.09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818,504,054.87</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本期末通过公司内部研发形成的无形资产占无形资产余额的比例0.00%</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确认为无形资产的数据资源</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外购的数据资源无形资产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自行开发的数据资源无形资产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其他方式取得的数据资源无形资产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bl>
    <w:p>
      <w:pPr>
        <w:spacing w:before="100" w:after="100" w:line="0" w:lineRule="exact"/>
        <w:jc w:val="left"/>
        <w:rPr>
          <w:rFonts w:hint="default" w:ascii="Times New Roman" w:hAnsi="Times New Roman" w:cs="Times New Roman"/>
          <w:color w:val="auto"/>
          <w:highlight w:val="none"/>
        </w:rPr>
      </w:pP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未办妥产权证书的土地使用权情况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未办妥产权证书的原因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土地使用权情况</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4,835,158.74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正在准备申办手续</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无形资产的减值测试情况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27、商誉</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商誉账面原值</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企业合并形成的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国能长源恩施水电开发有限公司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470,017,902.76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470,017,902.76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原国电利川民源水电开发有限公司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287,725,054.31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287,725,054.31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原国电来凤鑫源水电开发有限公司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19,557,893.80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19,557,893.80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原国电建始力源水电开发有限公司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52,515,043.52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52,515,043.52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国能长源汉川第一发电有限公司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8,709,056.24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8,709,056.24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838,524,950.63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838,524,950.63</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商誉减值准备</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被投资单位名称或形成商誉的事项</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商誉所在资产组或资产组组合的相关信息</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所属资产组或组合的构成及依据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所属经营分部及依据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是否与以前年度保持一致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国电长源汉川第一发电有限公司商誉所在资产组</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属资产组或组合的构成包含固定资产、在建工程及无形资产。商誉是企业整体价值的组成部分，其不独立于其他资产或资产组合产生现金流，因此商誉应当结合与其相关的资产组或者资产组组合进行减值测试。相关的资产组或者资产组组合应当是能够从企业合并的协同效应中受益的资产组或者资产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所属经营分部为国电长源汉川第一发电有限公司。国电长源汉川第一发电有限公司的主营业务为发电，商誉所在资产组是与其发电业务相关的资产组。</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国能长源恩施水电开发有限公司商誉所在资产组</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属资产组或组合的构成包含固定资产、在建工程及无形资产。商誉是企业整体价值的组成部分，其不独立于其他资产或资产组合产生现金流，因此商誉应当结合与其相关的资产组或者资产组组合进行减值测试。相关的资产组或者资产组组合应当是能够从企业合并的协同效应中受益的资产组或者资产组组合。</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所属经营分部为国能长源恩施水电开发有限公司。国能长源恩施水电开发有限公司的主营业务为水利发电，商誉所在资产组是与其发电业务相关的资产组</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资产组或资产组组合发生变化</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变化前的构成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变化后的构成</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导致变化的客观事实及依据</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spacing w:before="100" w:beforeAutospacing="0" w:after="12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①2006年12月，本公司从湖北省国际信托投资有限公司收购了湖北汉元发电有限公司（现更名为国能长源汉川第一发电有限公司）48%的股权，形成商誉870.91万元。商誉是企业整体价值的组成部分，其不独立于其他资产或资产组合产生现金流，本公司在收购湖北汉元发电有限公司时，其经营业务为火力发电，考虑企业合并的协同效应，本公司将其产生现金流所需的固定资产中的发电设备、房屋建构筑物及土地使用权作为资产组进行减值测试。</w:t>
      </w:r>
    </w:p>
    <w:p>
      <w:pPr>
        <w:pStyle w:val="4"/>
        <w:keepNext w:val="0"/>
        <w:keepLines w:val="0"/>
        <w:widowControl/>
        <w:suppressLineNumbers w:val="0"/>
        <w:spacing w:before="100" w:beforeAutospacing="0" w:after="120" w:afterAutospacing="0"/>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②2010年，原国电集团与恩施富源（现更名为国能长源恩施水电开发有限公司）、建始力源、利川民源、来凤鑫源等公司股东签订《股权转让协议》收购上述4家公司100%股权，合计形成商誉82,981.59万元。恩施富源等四家公司均为投资性主体，合计交叉持有3家水电站实体郁江水电公司、建始野三河公司、来凤塘口公司100%股权。2012年原国电集团将其持有的恩施富源等4家公司股权无偿划转至国电湖北电力有限公司，相关商誉一并由国电湖北公司承接。2013年，为进一步优化产权结构，经原国电集团批复，将原利川民源、建始力源、来凤鑫源持有的实体电站的股权划转至国能长源恩施水电开发有限公司，之后利川民源、建始力源、来凤鑫源3家公司由国电湖北公司吸收合并。商誉是企业整体价值的组成部分，其不独立于其他资产或资产组合产生现金流，本公司在合并吸收利川郁江水电公司、建始野三河水电公司及来凤塘口水电公司时，其经营业务为水利发电，考虑企业合并的协同效应，本公司将其产生现金流所需的固定资产中的发电设备、房屋建构筑物及土地使用权作为资产组进行减值测试。</w:t>
      </w:r>
    </w:p>
    <w:p>
      <w:pPr>
        <w:keepNext/>
        <w:keepLines/>
        <w:widowControl/>
        <w:suppressLineNumbers w:val="0"/>
        <w:spacing w:before="300" w:beforeAutospacing="0" w:after="300" w:afterAutospacing="0" w:line="280" w:lineRule="exact"/>
        <w:ind w:left="0" w:right="0" w:firstLine="420"/>
        <w:jc w:val="left"/>
        <w:outlineLvl w:val="3"/>
        <w:rPr>
          <w:rFonts w:hint="default" w:ascii="Times New Roman" w:hAnsi="Times New Roman"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（4）可收回金额的具体确定方法</w:t>
      </w:r>
    </w:p>
    <w:p>
      <w:pPr>
        <w:pStyle w:val="4"/>
        <w:keepNext w:val="0"/>
        <w:keepLines w:val="0"/>
        <w:widowControl/>
        <w:suppressLineNumbers w:val="0"/>
        <w:spacing w:before="100" w:beforeAutospacing="0" w:after="120" w:afterAutospacing="0"/>
        <w:ind w:left="0" w:righ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对上述资产组的可回收金额按照预计未来现金流量的现值确定，水电资产组采用的折现率为6.67%，火电资产组采用的折现率为8.23%，对资产组进行现金流量预测时采用的其他关键假设包括预计售电量、未来售电价格、预计毛利率以及相关成本费用等，这些假设基于各资产组以前年度的经营业绩、行业水平以及管理层对市场发展的预期。</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前述信息与以前年度减值测试采用的信息或外部信息明显不一致的差异原因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公司以前年度减值测试采用信息与当年实际情况明显不一致的差异原因</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业绩承诺完成及对应商誉减值情况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形成商誉时存在业绩承诺且报告期或报告期上一期间处于业绩承诺期内</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18"/>
          <w:szCs w:val="18"/>
          <w:highlight w:val="none"/>
        </w:rPr>
        <w:t>截至2025年6月30日，本公司商誉未发生减值。</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28、长期待摊费用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本期摊销金额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其他减少金额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租入固定资产改良支出（装修）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9,405,624.19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1,174,490.58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8,231,133.61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汉川发电征地及拆迁补偿</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28,062,977.39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360,076.83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27,702,900.56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恩施水电公司办公楼装修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766,884.50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75,431.28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691,453.22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广水风电项目临时用地费用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7,544,729.39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342,942.24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7,201,787.15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南河光伏项目临时用地费用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426,109.67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11,947.02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414,162.65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公安狮子口光伏项目土地管理费用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636,792.43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141,509.43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495,283.00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中华山二期项目临时用地费用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4,090,331.20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350,599.80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3,739,731.40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吉阳山风电场临时用地费用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6,257,297.65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625,729.74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5,631,567.91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武汉实业七层办公区域装修费用</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491,612.92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50,856.50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440,756.42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随州发电场馆装修待摊</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1,085,135.01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108,513.49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976,621.52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随县新能源生产准备费摊销</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374,243.40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374,243.40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57,682,359.34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1,459,378.41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3,616,340.31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55,525,397.44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29、递延所得税资产/递延所得税负债</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未经抵销的递延所得税资产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递延所得税资产</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可抵扣暂时性差异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资产减值准备</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260,965,673.84</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55,039,916.77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315,177,988.14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69,126,672.24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可抵扣亏损</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76,843,537.33</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12,333,157.36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73,025,332.82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10,953,799.92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递延收益</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93,573,693.52</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23,486,041.92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92,967,096.46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23,241,774.12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固定资产折旧</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1,221,000.00</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305,250.00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1,221,000.00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305,250.00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其他权益工具投资公允价值变动</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16,992,296.68</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2,568,844.50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16,992,296.68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2,568,844.50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589,306,791.21</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145,874,335.56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555,768,800.39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138,710,173.75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非货币性资产交换</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11,293,746.17</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1,694,061.93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11,293,746.17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1,694,061.93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未决诉讼损失</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794,101.00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119,115.15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已</w:t>
            </w:r>
            <w:r>
              <w:rPr>
                <w:rFonts w:hint="default" w:ascii="Times New Roman" w:hAnsi="Times New Roman" w:cs="Times New Roman"/>
                <w:color w:val="auto"/>
                <w:sz w:val="18"/>
                <w:szCs w:val="18"/>
                <w:highlight w:val="none"/>
                <w:lang w:eastAsia="zh-CN"/>
              </w:rPr>
              <w:t>计提</w:t>
            </w:r>
            <w:r>
              <w:rPr>
                <w:rFonts w:hint="default" w:ascii="Times New Roman" w:hAnsi="Times New Roman" w:eastAsia="宋体" w:cs="Times New Roman"/>
                <w:color w:val="auto"/>
                <w:sz w:val="18"/>
                <w:szCs w:val="18"/>
                <w:highlight w:val="none"/>
              </w:rPr>
              <w:t>尚未支付的各项费用</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37,449,906.84</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9,362,476.71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1,087,646,645.59</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250,664,084.75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1,067,240,361.66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246,719,691.61</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未经抵销的递延所得税负债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递延所得税负债</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应纳税暂时性差异</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递延所得税负债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非同一控制企业合并资产评估增值</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90,290,180.14</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14,810,428.41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93,350,976.83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15,438,851.90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其他权益工具投资公允价值变动</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5,098,998.98</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1,274,749.76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5,098,998.98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1,274,749.76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固定资产折旧</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83,756,652.56</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18,389,353.69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83,956,003.74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18,439,191.48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550,892,547.73</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137,360,731.44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528,339,651.34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131,944,550.31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730,038,379.41</w:t>
            </w:r>
          </w:p>
        </w:tc>
        <w:tc>
          <w:tcPr>
            <w:tcW w:w="192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171,835,263.30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710,745,630.89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167,097,343.45</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以抵销后净额列示的递延所得税资产或负债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递延所得税资产和负债期末互抵金额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抵销后递延所得税资产或负债期末余额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递延所得税资产和负债期初互抵金额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抵销后递延所得税资产或负债期初余额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递延所得税资产</w:t>
            </w:r>
          </w:p>
        </w:tc>
        <w:tc>
          <w:tcPr>
            <w:tcW w:w="192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145,560,225.76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105,103,858.99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150,668,826.96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96,050,864.65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递延所得税负债</w:t>
            </w:r>
          </w:p>
        </w:tc>
        <w:tc>
          <w:tcPr>
            <w:tcW w:w="192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145,560,225.76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26,275,037.54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150,668,826.96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16,428,516.49</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未确认递延所得税资产明细</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可抵扣暂时性差异</w:t>
            </w:r>
          </w:p>
        </w:tc>
        <w:tc>
          <w:tcPr>
            <w:tcW w:w="32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685,740,883.25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685,740,883.25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可抵扣亏损</w:t>
            </w:r>
          </w:p>
        </w:tc>
        <w:tc>
          <w:tcPr>
            <w:tcW w:w="32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1,121,327,274.61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997,453,031.50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1,807,068,157.86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1,683,193,914.75</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未确认递延所得税资产的可抵扣亏损将于以下年度到期</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年份</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119,583,257.78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119,583,257.78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2026年</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149,152,773.63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174,468,725.57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2027年</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277,243,036.92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307,972,001.49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2028年</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178,121,717.58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180,232,427.40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2029年</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207,498,977.86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215,196,619.26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2030年</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189,727,510.84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1,121,327,274.61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997,453,031.50</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由于公司本部及部分子公司未来能否获得足够的应纳税所得额具有不确定性，因此未将全部可抵扣暂时性差异或可抵扣亏损确认为递延所得税资产。</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30、其他非流动资产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预付工程、设备款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632,581,932.51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632,581,932.51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1,360,023,820.31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1,360,023,820.31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售后回租形成融资租赁折价出售资产差额</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847,597.57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847,597.57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916,282.75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916,282.75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633,429,530.08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633,429,530.08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1,360,940,103.06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1,360,940,103.06</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31、所有权或使用权受到限制的资产</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受限类型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受限情况</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受限类型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受限情况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货币资金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771,228.58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771,228.58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冻结、扣押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土地复垦保证金及车辆ETC保证金</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770,228.58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770,228.58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冻结、扣押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土地复垦保证金及车辆ETC保证金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81,258,054.22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71,510,179.81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电费收费权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57,165,542.69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49,371,720.92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质押</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电费收费权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82,029,282.80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72,281,408.39</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57,935,771.27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50,141,949.50</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32、短期借款</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短期借款分类</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4,407,006,373.33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4,230,984,364.79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4,407,006,373.33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4,230,984,364.79</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短期借款分类的说明：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已逾期未偿还的短期借款情况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本期末已逾期未偿还的短期借款总额为0.00元，其中重要的已逾期未偿还的短期借款情况如下：</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借款利率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逾期利率</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33、交易性金融负债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34、衍生金融负债</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35、应付票据</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种类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银行承兑汇票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49,005,324.73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125,365,189.03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财务公司承兑汇票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168,702,597.62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224,005,324.73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294,067,786.65</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本期末已到期未支付的应付票据总额为0.00元，到期未付的原因为。</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36、应付账款</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应付账款列示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燃料款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222,891,400.54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385,755,021.52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材料款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153,240,143.19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142,210,517.83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修理费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17,257,326.05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76,180,284.79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工程、设备款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1,344,148,827.96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1,420,982,344.50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168,210,867.21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179,087,468.33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1,905,748,564.95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2,204,215,636.97</w:t>
            </w:r>
          </w:p>
        </w:tc>
      </w:tr>
    </w:tbl>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账龄超过1年或逾期的重要应付账款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未偿还或结转的原因</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37、其他应付款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351,162.29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351,162.29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634,129,540.40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672,536,982.37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634,480,702.69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672,888,144.66</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应付利息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重要的已逾期未支付的利息情况：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借款单位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逾期原因</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应付股利</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普通股股利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351,162.29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351,162.29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351,162.29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351,162.29</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其他说明，包括重要的超过1年未支付的应付股利，应披露未支付原因：</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18"/>
          <w:szCs w:val="18"/>
          <w:highlight w:val="none"/>
        </w:rPr>
        <w:t>湖北省阳新铝厂是由于其涉及诉讼纠纷，公司协助法院执行暂未支付。</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其他应付款</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按款项性质列示其他应付款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押金及保证金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501,156,733.08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538,120,069.94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代扣代缴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10,330,670.89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8,846,705.43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单位往来款及其他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122,642,136.43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125,570,207.00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634,129,540.40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672,536,982.37</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账龄超过1年或逾期的重要其他应付款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未偿还或结转的原因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东方电气股份有限公司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76,406,000.00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质保金未到期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33,042,577.28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往来款未支付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109,448,577.28</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38、预收款项</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预收款项列示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预收房屋租赁款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3,172,800.00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5,924,000.01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预收土地租赁款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3,847,936.91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2,247,224.49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预收设备租赁款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2,207,092.24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3,959,471.32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130,759.11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163,337.26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9,358,588.26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12,294,033.08</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账龄超过1年或逾期的重要预收款项</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未偿还或结转的原因</w:t>
            </w:r>
          </w:p>
        </w:tc>
      </w:tr>
    </w:tbl>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变动金额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变动原因</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39、合同负债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电、热销售款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51,597,239.07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35,689,548.54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粉煤灰销售款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14,467,339.72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9,021,932.29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3,274,293.45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2,299,630.00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69,338,872.24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47,011,110.83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账龄超过1年的重要合同负债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未偿还或结转的原因</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报告期内账面价值发生重大变动的金额和原因</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0"/>
        <w:gridCol w:w="820"/>
        <w:gridCol w:w="80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变动金额</w:t>
            </w:r>
          </w:p>
        </w:tc>
        <w:tc>
          <w:tcPr>
            <w:tcW w:w="80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变动原因</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40、应付职工薪酬</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应付职工薪酬列示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一、短期薪酬</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110,718,166.33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597,368,080.93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597,595,236.98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110,491,010.28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二、离职后福利-设定提存计划</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175,512.42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116,202,017.40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116,250,761.19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126,768.63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110,893,678.75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713,570,098.33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713,845,998.17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110,617,778.91</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短期薪酬列示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1、工资、奖金、津贴和补贴</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407,705,390.00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407,705,390.00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2、职工福利费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49,777,255.76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49,777,255.76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3、社会保险费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12,115,605.77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65,547,603.67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67,143,123.18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10,520,086.26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其中：医疗保险费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4,415,230.68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37,551,185.80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37,644,484.83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4,321,931.65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工伤保险费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9,391.64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983,281.33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983,403.71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9,269.26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生育保险费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864.94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2,696,345.62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2,696,345.62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864.94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补充医疗保险费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7,690,118.51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24,316,790.92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25,818,889.02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6,188,020.41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4、住房公积金</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3,081.00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57,001,184.65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57,004,061.65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5、工会经费和职工教育经费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98,599,479.56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16,730,849.72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15,359,609.26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99,970,720.02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劳务派遣人员费用</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605,797.13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605,797.13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110,718,166.33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597,368,080.93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597,595,236.98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110,491,010.28</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设定提存计划列示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1、基本养老保险</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80,866.60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72,095,494.57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72,117,023.37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59,337.80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2、失业保险费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7,080.15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3,241,634.83</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3,242,178.18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6,536.80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3、企业年金缴费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87,565.67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40,864,888.00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40,891,559.64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60,894.03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175,512.42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116,202,017.40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116,250,761.19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126,768.63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18"/>
          <w:szCs w:val="18"/>
          <w:highlight w:val="none"/>
        </w:rPr>
        <w:t>本公司按规定参加由政府机构设立的养老保险、失业保险计划，根据该等计划，本公司分别按员工基本工资的 16%、0.7%每月向该等计划缴存费用。除上述每月缴存费用外，本公司不再承担进一步支付义务。相应的支出于发生时计入当期损益或相关资产的成本。</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41、应交税费</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75,648,725.97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74,085,078.84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50,030,012.45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140,252,096.78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个人所得税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415,361.25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12,684,940.73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3,718,401.59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2,455,545.46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5,518,785.53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5,419,579.45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5,187,642.07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5,115,610.48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1,321,859.33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2,926,329.23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环境保护税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778,134.15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1,985,818.63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2,399,999.25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1,858,650.11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地方教育费附加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1,028,703.52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667,804.11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水资源费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1,200,414.54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残疾人保障金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9,988,892.94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8,431,961.10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10,245,802.75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16,910,167.74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166,282,320.80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273,993,997.20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42、持有待售负债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43、一年内到期的非流动负债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2,730,385,755.48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2,011,269,294.52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629,389.97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629,389.97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9,396,461.00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12,939,898.27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794,101.00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2,740,411,606.45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2,025,632,683.76</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44、其他流动负债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待转增值税销项税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6,640,922.46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4,432,025.33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6,640,922.46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4,432,025.33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短期应付债券的增减变动：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债券名称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面值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票面利率</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债券期限</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发行金额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本期发行</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按面值计提利息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溢折价摊销</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本期偿还</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是否违约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45、长期借款</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长期借款分类</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质押借款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34,762,760.00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39,502,760.00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信用借款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14,945,946,944.58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15,694,631,334.10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14,980,709,704.58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15,734,134,094.10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长期借款分类的说明：</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（1）子公司国能长源湖北新能源有限公司将中华山一期风电项目电费收费权出质给中国工商银行股份有限公司广水支行，取得长期借款余额44,242,760.00元（其中一年内到期的长期借款为9,480,000.00元）。</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（2）子公司国能长源恩施水电开发有限公司将16座水电站电费收费权出质给中国建设银行股份有限公司恩施分行，取得长期借款余额150,000,000.00元（其中一年内到期的长期借款为150,000,000.00元）。</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其他说明，包括利率区间：</w:t>
      </w:r>
    </w:p>
    <w:p>
      <w:pPr>
        <w:pStyle w:val="4"/>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长期借款利率区间为：1.25%-3.2%。</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46、应付债券</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应付债券</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应付债券的增减变动（不包括划分为金融负债的优先股、永续债等其他金融工具）</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9"/>
        <w:gridCol w:w="689"/>
        <w:gridCol w:w="689"/>
        <w:gridCol w:w="689"/>
        <w:gridCol w:w="689"/>
        <w:gridCol w:w="689"/>
        <w:gridCol w:w="689"/>
        <w:gridCol w:w="689"/>
        <w:gridCol w:w="689"/>
        <w:gridCol w:w="689"/>
        <w:gridCol w:w="689"/>
        <w:gridCol w:w="689"/>
        <w:gridCol w:w="689"/>
        <w:gridCol w:w="6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债券名称</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面值</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票面利率</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发行日期</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债券期限</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发行金额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本期发行</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按面值计提利息</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溢折价摊销</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本期偿还</w:t>
            </w: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是否违约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89"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可转换公司债券的说明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划分为金融负债的其他金融工具说明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期末发行在外的优先股、永续债等其他金融工具基本情况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期末发行在外的优先股、永续债等金融工具变动情况表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其他金融工具划分为金融负债的依据说明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47、租赁负债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租赁付款额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921,025,644.30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927,954,423.27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减：未确认的融资费用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-331,718,853.09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-344,154,223.45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重分类至一年内到期的非流动负债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-9,396,461.00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-12,939,898.27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579,910,330.21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570,860,301.55</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48、长期应付款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7,911,768.42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7,911,768.42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7,911,768.42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7,911,768.42</w:t>
            </w:r>
          </w:p>
        </w:tc>
      </w:tr>
    </w:tbl>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按款项性质列示长期应付款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厂办大集体改革费用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7,911,768.42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7,911,768.42</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说明：长期应付款系按照国务院办公厅《关于在全国范围内开展厂办大集体改革工作的指导意见》（国办发〔2011〕18号）、国资委《关于推动中央企业规范做好厂办大集体改革工作有关事项的通知》（国资分配〔2011〕111号）等文件精神，本公司对厂办大集体企业进行改革或改制时提取的尚未支付的相关费用。</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专项应付款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形成原因</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49、长期应付职工薪酬</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长期应付职工薪酬表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设定受益计划变动情况</w:t>
      </w:r>
    </w:p>
    <w:p>
      <w:pPr>
        <w:spacing w:before="120" w:after="12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设定受益计划义务现值：</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计划资产：</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设定受益计划净负债（净资产）</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设定受益计划的内容及与之相关风险、对公司未来现金流量、时间和不确定性的影响说明：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设定受益计划重大精算假设及敏感性分析结果说明：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50、预计负债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形成原因</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其他说明，包括重要预计负债的相关重要假设、估计说明：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51、递延收益</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形成原因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政府补助</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193,240,838.73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21,632,340.00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3,331,779.81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211,541,398.92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与资产相关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193,240,838.73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21,632,340.00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3,331,779.81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211,541,398.92</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24"/>
        <w:gridCol w:w="1185"/>
        <w:gridCol w:w="1238"/>
        <w:gridCol w:w="874"/>
        <w:gridCol w:w="1306"/>
        <w:gridCol w:w="430"/>
        <w:gridCol w:w="1185"/>
        <w:gridCol w:w="7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830"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补助项目</w:t>
            </w:r>
          </w:p>
        </w:tc>
        <w:tc>
          <w:tcPr>
            <w:tcW w:w="0" w:type="auto"/>
            <w:tcBorders>
              <w:top w:val="single" w:color="auto" w:sz="8" w:space="0"/>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上年年末余额</w:t>
            </w:r>
          </w:p>
        </w:tc>
        <w:tc>
          <w:tcPr>
            <w:tcW w:w="0" w:type="auto"/>
            <w:tcBorders>
              <w:top w:val="single" w:color="auto" w:sz="8" w:space="0"/>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本期新增补助金额</w:t>
            </w:r>
          </w:p>
        </w:tc>
        <w:tc>
          <w:tcPr>
            <w:tcW w:w="0" w:type="auto"/>
            <w:tcBorders>
              <w:top w:val="single" w:color="auto" w:sz="8" w:space="0"/>
              <w:left w:val="nil"/>
              <w:bottom w:val="single" w:color="auto" w:sz="8" w:space="0"/>
              <w:right w:val="single" w:color="auto" w:sz="8" w:space="0"/>
            </w:tcBorders>
            <w:shd w:val="clear" w:color="auto" w:fill="auto"/>
            <w:tcMar>
              <w:top w:w="0" w:type="dxa"/>
              <w:left w:w="30" w:type="dxa"/>
              <w:bottom w:w="0" w:type="dxa"/>
              <w:right w:w="30" w:type="dxa"/>
            </w:tcMar>
            <w:vAlign w:val="top"/>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本期计入营业外收入金额</w:t>
            </w:r>
          </w:p>
        </w:tc>
        <w:tc>
          <w:tcPr>
            <w:tcW w:w="0" w:type="auto"/>
            <w:tcBorders>
              <w:top w:val="single" w:color="auto" w:sz="8" w:space="0"/>
              <w:left w:val="nil"/>
              <w:bottom w:val="single" w:color="auto" w:sz="8" w:space="0"/>
              <w:right w:val="single" w:color="auto" w:sz="8" w:space="0"/>
            </w:tcBorders>
            <w:shd w:val="clear" w:color="auto" w:fill="auto"/>
            <w:tcMar>
              <w:top w:w="0" w:type="dxa"/>
              <w:left w:w="30" w:type="dxa"/>
              <w:bottom w:w="0" w:type="dxa"/>
              <w:right w:w="30" w:type="dxa"/>
            </w:tcMar>
            <w:vAlign w:val="top"/>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本期计入其他收益金额</w:t>
            </w:r>
          </w:p>
        </w:tc>
        <w:tc>
          <w:tcPr>
            <w:tcW w:w="0" w:type="auto"/>
            <w:tcBorders>
              <w:top w:val="single" w:color="auto" w:sz="8" w:space="0"/>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其他变动</w:t>
            </w:r>
          </w:p>
        </w:tc>
        <w:tc>
          <w:tcPr>
            <w:tcW w:w="0" w:type="auto"/>
            <w:tcBorders>
              <w:top w:val="single" w:color="auto" w:sz="8" w:space="0"/>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期末余额</w:t>
            </w:r>
          </w:p>
        </w:tc>
        <w:tc>
          <w:tcPr>
            <w:tcW w:w="0" w:type="auto"/>
            <w:tcBorders>
              <w:top w:val="single" w:color="auto" w:sz="8" w:space="0"/>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与资产</w:t>
            </w:r>
            <w:r>
              <w:rPr>
                <w:rFonts w:hint="default" w:ascii="Times New Roman" w:hAnsi="Times New Roman" w:cs="Times New Roman"/>
                <w:color w:val="auto"/>
                <w:sz w:val="18"/>
                <w:szCs w:val="18"/>
                <w:highlight w:val="none"/>
                <w:vertAlign w:val="baseline"/>
              </w:rPr>
              <w:t>/</w:t>
            </w:r>
            <w:r>
              <w:rPr>
                <w:rFonts w:hint="default" w:ascii="Times New Roman" w:hAnsi="Times New Roman" w:eastAsia="宋体" w:cs="Times New Roman"/>
                <w:color w:val="auto"/>
                <w:sz w:val="18"/>
                <w:szCs w:val="18"/>
                <w:highlight w:val="none"/>
                <w:vertAlign w:val="baseline"/>
              </w:rPr>
              <w:t>收益相关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青山热电厂13#14#机组(2*350MW)脱硫提效改造及湿式电除尘改造</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1,467,000.00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66,000.00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1,401,000.00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青山热电厂2011年管网配套工程</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280,000.00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260,000.00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青山热电厂13#14#机组烟气自动监测项目</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95,454.54</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6,818.18</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88,636.36</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青山热电厂武石化供热蒸汽工程</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175,000.00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12,500.00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162,500.00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青山热电厂集中供热管网工程</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115,500.00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5,250.00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110,250.00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青山热电厂13#14#机组烟气脱硫脱硝及除尘改造项目</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1,650,000.00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75,000.00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1,575,000.00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青山热电厂13#机组汽轮机喷嘴优化改造及汽封整体更换</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669,688.50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25,757.26</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643,931.24</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十堰白沙河电站公路复建资金补贴</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3,077,545.31</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35,208.42</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3,042,336.89</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十堰白沙河电站耕地占用税返还</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92,907,748.72</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1,065,859.80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91,841,888.92</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十堰白沙河移民安置费用减免资金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3,583,289.82</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40,816.32</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3,542,473.50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汉川发电三期土地补助资金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12,674,913.19</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138,020.84</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12,536,892.35</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汉川发电煤场封闭项目大气污染防治资金补贴</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1,479,660.58</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64,770.83</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1,414,889.75</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恩施公司生态量监测系统</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445,158.42</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32,131.92</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413,026.50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长源第一发电厂12#机组脱硫改造专项款</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96,707.90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10,126.58</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86,581.32</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长源第一发电厂12#机组脱硫提效改造补助资金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445,500.00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20,250.00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425,250.00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长源第一发电厂12#机组脱硫提效改造补助</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32,500.00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1,250.00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31,250.00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长源第一发电厂12#机组烟气脱硝改造循环引导资金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503,375.79</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26,493.50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476,882.29</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长源第一发电厂12#炉电除尘改造专项款</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285,377.21</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25,210.08</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260,167.13</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长源第一发电厂12#组烟气脱硝项目专项资金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2,324,159.68</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125,000.00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2,199,159.68</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长源第一发电厂12#机组烟气在线监测</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100,000.00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15,000.00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85,000.00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2020年促进先进科技项目奖励资金（烟囱白羽）</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160,000.00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155,000.00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2021年工业节能专项资金补助（低温省煤器）</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334,125.00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11,137.50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322,987.50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2021年工业节能专项资金补助（汽封换型改造）</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695,025.00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23,167.50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671,857.50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长源第一发电厂工业节能（除渣改造）专项资金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1,200,000.00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75,000.00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1,125,000.00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长源第一发电厂除尘超净排放（细颗粒物团聚强化除尘）补助</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825,000.00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27,500.00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797,500.00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长源第一发电厂高频电源改造补助资金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12,500.00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187,500.00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长源第一发电厂空预器、再热器改造返还资金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108,513.58</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14,864.86</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93,648.72</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长源第一发电厂烟气在线项目返还资金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97,500.00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7,500.00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90,000.00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长源第一发电厂凉水塔凝结水泵改造补助资金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117,200.96</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13,761.46</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103,439.50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长源第一发电厂1#煤场原煤筒仓建设改造补助</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6,763,700.00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197,000.00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6,566,700.00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杨春湖污水处理改造环保专项补助</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62,881.18</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3,144.10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59,737.08</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杨春湖污水处理改造环保专项补助尾款</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43,242.28</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2,162.16</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41,080.12</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荆门发电厂2*600MW机组电除尘器、一次风机及汽轮机优化改造补助资金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509,540.34</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98,620.68</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410,919.66</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荆门发电厂真空泵大气喷射装置补助资金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53,757.02</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10,404.62</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43,352.40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荆门发电厂6号汽轮机与给水泵水汽轮机通流部分优化改造补助资金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3,083,333.33</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170,000.00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2,913,333.33</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荆门发电厂超低排放改造补助资金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219,428.57</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9,142.86</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210,285.71</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荆门发电厂化学制水系统增容改造项目专项补助资金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1,336,244.54</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39,301.32</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1,296,943.22</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荆州热电厂2012年省节约能源项目资金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7,500.00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112,500.00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荆州热电厂2014年省节约能源项目资金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225,833.34</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15,000.00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210,833.34</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荆州热电厂2013年热网建设奖励</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292,083.33</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12,500.00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279,583.33</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荆州热电厂2021年热网建设奖励</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2,113,020.00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58,695.00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2,054,325.00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荆州热电厂2022年热网建设奖励</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4,729,166.67</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125,000.00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4,604,166.67</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汉川第一发电厂节能技术改造</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427,564.12</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55,769.22</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371,794.90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汉川第一发电厂脱硝改造</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465,789.45</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23,684.22</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442,105.23</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汉川第一发电厂老厂煤场征地补助</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878,489.51</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10,479.00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868,010.51</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汉川第一发电厂脱硫脱硝超低排放改造</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93,916.67</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11,500.00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82,416.67</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湖北省发改委2013年固定资产投资计划补助资金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260,000.00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15,000.00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245,000.00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汉川第一发电厂2022年度第一批中央大气污染防治专项资金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35,000,000.00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35,000,000.00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汉川第一发电厂技术改造项目补助资金</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2,517,500.00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66,250.00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2,451,250.00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80" w:hRule="atLeas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青山热电厂2024年工业节能与绿色低碳转型项目资金-#13机#14机组节能优化改造</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2,000,000.00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57,156.86</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1,942,843.14</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80" w:hRule="atLeas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荆门发电厂2X640MW机组液氨改尿素工程</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2,090,322.58</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58,064.52</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2,032,258.06</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80" w:hRule="atLeas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荆州热电厂机组技术改造及全厂废水综合治理</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862,980.00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22,710.00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840,270.00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80" w:hRule="atLeas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随州发电厂2*66万千瓦火电项目投资补助</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2,946,101.60</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20,000,000.00</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232,470.37</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22,713,631.23</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80" w:hRule="atLeas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荆门掇刀区企业家大会高质量发展重要贡献奖</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269,800.00</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5,620.83</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264,179.17</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80" w:hRule="atLeast"/>
          <w:jc w:val="center"/>
        </w:trPr>
        <w:tc>
          <w:tcPr>
            <w:tcW w:w="2724" w:type="dxa"/>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2023年荆州市实施“四大工程”推进制造业高质量发展专项资金补贴</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sz w:val="21"/>
                <w:szCs w:val="21"/>
                <w:highlight w:val="none"/>
              </w:rPr>
            </w:pPr>
            <w:r>
              <w:rPr>
                <w:rFonts w:hint="default" w:ascii="Times New Roman" w:hAnsi="Times New Roman" w:cs="Times New Roman"/>
                <w:color w:val="auto"/>
                <w:sz w:val="18"/>
                <w:szCs w:val="18"/>
                <w:highlight w:val="none"/>
              </w:rPr>
              <w:t> </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1,362,540.00</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22,709.00</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1,339,831.00</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与资产相关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80"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vertAlign w:val="baseline"/>
              </w:rPr>
              <w:t>合</w:t>
            </w:r>
            <w:r>
              <w:rPr>
                <w:rFonts w:hint="default" w:ascii="Times New Roman" w:hAnsi="Times New Roman" w:cs="Times New Roman"/>
                <w:color w:val="auto"/>
                <w:sz w:val="18"/>
                <w:szCs w:val="18"/>
                <w:highlight w:val="none"/>
                <w:vertAlign w:val="baseline"/>
              </w:rPr>
              <w:t>  </w:t>
            </w:r>
            <w:r>
              <w:rPr>
                <w:rFonts w:hint="default" w:ascii="Times New Roman" w:hAnsi="Times New Roman" w:eastAsia="宋体" w:cs="Times New Roman"/>
                <w:color w:val="auto"/>
                <w:sz w:val="18"/>
                <w:szCs w:val="18"/>
                <w:highlight w:val="none"/>
                <w:vertAlign w:val="baseline"/>
              </w:rPr>
              <w:t>计</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193,240,838.73</w:t>
            </w:r>
          </w:p>
        </w:tc>
        <w:tc>
          <w:tcPr>
            <w:tcW w:w="1238"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21,632,340.00</w:t>
            </w:r>
          </w:p>
        </w:tc>
        <w:tc>
          <w:tcPr>
            <w:tcW w:w="874"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306"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3,331,779.81</w:t>
            </w:r>
          </w:p>
        </w:tc>
        <w:tc>
          <w:tcPr>
            <w:tcW w:w="430"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line="400" w:lineRule="atLeast"/>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rPr>
              <w:t> </w:t>
            </w:r>
          </w:p>
        </w:tc>
        <w:tc>
          <w:tcPr>
            <w:tcW w:w="1185" w:type="dxa"/>
            <w:tcBorders>
              <w:top w:val="nil"/>
              <w:left w:val="nil"/>
              <w:bottom w:val="single" w:color="auto" w:sz="8" w:space="0"/>
              <w:right w:val="single" w:color="auto" w:sz="8" w:space="0"/>
            </w:tcBorders>
            <w:shd w:val="clear" w:color="auto" w:fill="auto"/>
            <w:tcMar>
              <w:top w:w="0" w:type="dxa"/>
              <w:left w:w="30" w:type="dxa"/>
              <w:bottom w:w="0" w:type="dxa"/>
              <w:right w:w="30"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211,541,398.92</w:t>
            </w:r>
          </w:p>
        </w:tc>
        <w:tc>
          <w:tcPr>
            <w:tcW w:w="0" w:type="auto"/>
            <w:tcBorders>
              <w:top w:val="nil"/>
              <w:left w:val="nil"/>
              <w:bottom w:val="single" w:color="auto" w:sz="8" w:space="0"/>
              <w:right w:val="single" w:color="auto" w:sz="8" w:space="0"/>
            </w:tcBorders>
            <w:shd w:val="clear" w:color="auto" w:fill="auto"/>
            <w:tcMar>
              <w:top w:w="0" w:type="dxa"/>
              <w:left w:w="30" w:type="dxa"/>
              <w:bottom w:w="0" w:type="dxa"/>
              <w:right w:w="30" w:type="dxa"/>
            </w:tcMar>
            <w:vAlign w:val="top"/>
          </w:tcPr>
          <w:p>
            <w:pPr>
              <w:pStyle w:val="4"/>
              <w:keepNext w:val="0"/>
              <w:keepLines w:val="0"/>
              <w:widowControl/>
              <w:suppressLineNumbers w:val="0"/>
              <w:spacing w:line="240" w:lineRule="atLeast"/>
              <w:jc w:val="center"/>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18"/>
                <w:szCs w:val="18"/>
                <w:highlight w:val="none"/>
                <w:vertAlign w:val="baseline"/>
              </w:rPr>
              <w:t>——</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52、其他非流动负债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53、股本</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6024"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本次变动增减（+、-）</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发行新股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送股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公积金转股</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小计</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股份总数</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3,481,035,016.00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54、其他权益工具</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期末发行在外的优先股、永续债等其他金融工具基本情况</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期末发行在外的优先股、永续债等金融工具变动情况表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发行在外的金融工具</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数量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其他权益工具本期增减变动情况、变动原因说明，以及相关会计处理的依据：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55、资本公积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资本溢价（股本溢价）</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5,254,809,359.64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5,254,809,359.64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其他资本公积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250,457,834.60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250,457,834.60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5,505,267,194.24</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5,505,267,194.24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其他说明，包括本期增减变动情况、变动原因说明：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56、库存股</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其他说明，包括本期增减变动情况、变动原因说明：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57、其他综合收益</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6426"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本期所得税前发生额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减：前期计入其他综合收益当期转入损益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减：前期计入其他综合收益当期转入留存收益</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减：所得税费用</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税后归属于母公司</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税后归属于少数股东</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一、不能重分类进损益的其他综合收益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-25,599,202.97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-25,599,202.97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其他权益工具投资公允价值变动</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-25,599,202.97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-25,599,202.97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二、将重分类进损益的其他综合收益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529,878.91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529,878.91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其中：权益法下可转损益的其他综合收益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529,878.91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529,878.91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-25,069,324.06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-25,069,324.06</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其他说明，包括对现金流量套期损益的有效部分转为被套期项目初始确认金额调整：</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58、专项储备</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安全生产费</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105,607,269.62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75,201,761.06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7,324,170.35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173,484,860.33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105,607,269.62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75,201,761.06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7,324,170.35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173,484,860.33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其他说明，包括本期增减变动情况、变动原因说明：</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根据财政部《关于印发〈企业安全生产费用提取和使用管理办法〉的通知》（财资〔2022〕136号）的有关规定，以上一年度发电收入基数，公司按照规定标准计提和使用安全生产费。</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59、盈余公积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法定盈余公积</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255,191,544.01</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盈余公积说明，包括本期增减变动情况、变动原因说明：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60、未分配利润</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调整前上期末未分配利润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4,285,411,105.51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3,695,779,152.68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调整后期初未分配利润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4,285,411,105.51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3,695,779,152.68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加：本期归属于母公司所有者的净利润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94,822,076.33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715,222,473.46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减：提取法定盈余公积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18,366,748.35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应付普通股股利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107,223,772.28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4,380,233,181.84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4,285,411,105.51</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调整期初未分配利润明细：</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1)、由于《企业会计准则》及其相关新规定进行追溯调整，影响期初未分配利润0.00元。</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2)、由于会计政策变更，影响期初未分配利润0.00元。</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3)、由于重大会计差错更正，影响期初未分配利润0.00元。</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4)、由于同一控制导致的合并范围变更，影响期初未分配利润0.00元。</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5)、其他调整合计影响期初未分配利润0.00元。</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61、营业收入和营业成本</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6,532,960,470.62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6,067,820,798.31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7,865,835,599.86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6,960,975,513.28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81,527,187.58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21,327,503.19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80,677,093.66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18,730,550.25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6,089,148,301.50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7,946,512,693.52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6,979,706,063.53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营业收入、营业成本的分解信息：</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合同分类</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分部1</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分部2</w:t>
            </w:r>
          </w:p>
        </w:tc>
        <w:tc>
          <w:tcPr>
            <w:tcW w:w="175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w:t>
            </w:r>
          </w:p>
        </w:tc>
        <w:tc>
          <w:tcPr>
            <w:tcW w:w="175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业务类型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电力及热力销售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6,532,960,470.62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6,067,820,798.31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6,532,960,470.62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6,067,820,798.31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粉煤灰销售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48,497,641.03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5,926,185.06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48,497,641.03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5,926,185.06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固定资产租赁、物业管理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14,995,643.58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8,101,281.20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14,995,643.58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8,101,281.20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18,033,902.97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7,300,036.93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18,033,902.97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7,300,036.93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按经营地区分类</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6,532,960,470.62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6,067,820,798.31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81,527,187.58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21,327,503.19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6,614,487,658.20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6,089,148,301.50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市场或客户类型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合同类型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按商品转让的时间分类</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按合同期限分类</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按销售渠道分类</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与履约义务相关的信息：</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履行履约义务的时间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重要的支付条款</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公司承诺转让商品的性质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是否为主要责任人</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公司承担的预期将退还给客户的款项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公司提供的质量保证类型及相关义务</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与分摊至剩余履约义务的交易价格相关的信息：</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本报告期末已签订合同、但尚未履行或尚未履行完毕的履约义务所对应的收入金额为0.00元，其中，0.00元预计将于0年度确认收入，0.00元预计将于0年度确认收入，0.00元预计将于0年度确认收入。</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合同中可变对价相关信息：</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重大合同变更或重大交易价格调整</w:t>
      </w:r>
    </w:p>
    <w:p>
      <w:pPr>
        <w:spacing w:before="100" w:after="10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会计处理方法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对收入的影响金额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62、税金及附加</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城市维护建设税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8,066,603.77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9,004,661.92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教育费附加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3,473,497.00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3,974,013.38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资源税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10,564,601.49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房产税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13,400,145.43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12,858,227.14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10,501,838.30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9,982,323.98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车船使用税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45,491.34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62,566.58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印花税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5,516,025.23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5,267,074.82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地方教育附加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2,315,664.65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2,684,377.98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环保税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3,364,855.64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2,927,564.57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57,248,722.85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46,760,810.37</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63、管理费用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50,485,150.93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50,599,292.37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折旧费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3,806,870.05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4,105,674.11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1,356,581.83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1,253,050.96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差旅费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1,153,120.27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1,386,900.60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业务招待费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48,677.80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63,135.20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办公费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209,419.91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174,555.18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会议费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208,533.20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113,135.20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聘请中介机构费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2,978,453.85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2,312,344.05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66,600.00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266,019.66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董事会费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143,795.26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141,262.18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1,867,273.38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1,613,791.06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62,324,476.48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62,029,160.57</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64、销售费用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65、研发费用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基于视频的值班人员工作状态异常及环境风险智能检测方法研究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1,213,592.23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基于关键参量实时监测的锅炉灵活性控制技术研究与示范</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1,013,592.23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基于机器视觉与精确动态定位的摘复钩机器人研究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651,698.10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基于熔盐储能的煤电机组调频调峰供热安全整体解决方案的研究与应用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2,226,415.09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330MW亚临界机组深度调峰下多参数联合抽汽供应系统研究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1,715,094.33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动火作业、高处作业及脚手架作业反违章智能识别系统的研究与应用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3,343,674.07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基于深调背景下锅炉关键高温部件寿命智能管控平台研究与应用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1,171,882.45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基于智能控制技术在火电厂化学水岛处理工艺中的研究与应用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3,603,732.68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多源传感器融合技术在铁路行车安全中的研究和应用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2,378,361.16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347,311.31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14,439,159.78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3,226,193.87</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66、财务费用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218,651,244.76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263,758,614.58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其中：租赁负债利息费用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11,099,361.21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7,200,928.18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763,770.74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743,987.30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汇兑损益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手续费及其他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2,452,149.27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2,540,772.59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220,339,623.29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265,555,399.87</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67、其他收益</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产生其他收益的来源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7,968,510.61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5,534,280.82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进项税加计抵减</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代扣个人所得税手续费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679,156.40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494,707.53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三代手续费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4,298.50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直接减免的增值税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合  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8,651,965.51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6,064,988.35</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68、净敞口套期收益</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69、公允价值变动收益</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产生公允价值变动收益的来源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70、投资收益</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-1,769,324.40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-103,223.52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-1,769,324.40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-103,223.52</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spacing w:before="100" w:beforeAutospacing="0" w:after="100" w:afterAutospacing="0" w:line="240" w:lineRule="atLeast"/>
        <w:ind w:left="0" w:right="0"/>
        <w:jc w:val="left"/>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18"/>
          <w:szCs w:val="18"/>
          <w:highlight w:val="none"/>
        </w:rPr>
        <w:t>公司按权益法核算的长期股权投资收益情况详见本附注“七、18、长期股权投资”。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71、信用减值损失</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-10,543,997.13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-9,617,526.34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其他应收款坏账损失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288,300.00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-463,683.21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-10,255,697.13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-10,081,209.55</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72、资产减值损失</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六、在建工程减值损失</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286,792.45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286,792.45</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73、资产处置收益</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资产处置收益的来源</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固定资产处置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-870,506.83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1,671,591.44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在建工程处置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14,316,424.27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使用权资产处置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36,929.74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5,103.09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13,482,847.18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1,676,694.53</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74、营业外收入</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接受捐赠</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政府补助</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非流动资产毁损报废利得</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1,097,208.32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违约赔偿收入</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227,576.36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448,657.20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罚款利得</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309,333.16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686,371.04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保险赔款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1,752,227.00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1,640,580.00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1,367,744.28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4,037,429.38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4,754,089.12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7,462,037.62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tbl>
      <w:tblPr>
        <w:tblStyle w:val="5"/>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9"/>
        <w:gridCol w:w="1144"/>
        <w:gridCol w:w="615"/>
        <w:gridCol w:w="1568"/>
        <w:gridCol w:w="954"/>
        <w:gridCol w:w="846"/>
        <w:gridCol w:w="995"/>
        <w:gridCol w:w="1255"/>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09" w:type="dxa"/>
            <w:tcBorders>
              <w:top w:val="single" w:color="auto" w:sz="8" w:space="0"/>
              <w:left w:val="single" w:color="auto" w:sz="8" w:space="0"/>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补助项目</w:t>
            </w:r>
          </w:p>
        </w:tc>
        <w:tc>
          <w:tcPr>
            <w:tcW w:w="1144"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发放主体</w:t>
            </w:r>
          </w:p>
        </w:tc>
        <w:tc>
          <w:tcPr>
            <w:tcW w:w="615"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发放原因</w:t>
            </w:r>
          </w:p>
        </w:tc>
        <w:tc>
          <w:tcPr>
            <w:tcW w:w="1568"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性质类型</w:t>
            </w:r>
          </w:p>
        </w:tc>
        <w:tc>
          <w:tcPr>
            <w:tcW w:w="954"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补贴是否影响当年盈亏</w:t>
            </w:r>
          </w:p>
        </w:tc>
        <w:tc>
          <w:tcPr>
            <w:tcW w:w="846"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是否特殊补贴</w:t>
            </w:r>
          </w:p>
        </w:tc>
        <w:tc>
          <w:tcPr>
            <w:tcW w:w="995"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本期发生金额</w:t>
            </w:r>
          </w:p>
        </w:tc>
        <w:tc>
          <w:tcPr>
            <w:tcW w:w="1255"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上期发生金额</w:t>
            </w:r>
          </w:p>
        </w:tc>
        <w:tc>
          <w:tcPr>
            <w:tcW w:w="1534" w:type="dxa"/>
            <w:tcBorders>
              <w:top w:val="single" w:color="auto" w:sz="8" w:space="0"/>
              <w:left w:val="nil"/>
              <w:bottom w:val="single" w:color="auto" w:sz="8" w:space="0"/>
              <w:right w:val="single" w:color="auto" w:sz="8" w:space="0"/>
            </w:tcBorders>
            <w:shd w:val="clear" w:color="auto" w:fill="D3D3D3"/>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与资产相关</w:t>
            </w:r>
            <w:r>
              <w:rPr>
                <w:rFonts w:hint="default"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8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武汉市经济和信息化局市领导慰问电力职工款</w:t>
            </w:r>
          </w:p>
        </w:tc>
        <w:tc>
          <w:tcPr>
            <w:tcW w:w="11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武汉市经济和信息化局</w:t>
            </w:r>
          </w:p>
        </w:tc>
        <w:tc>
          <w:tcPr>
            <w:tcW w:w="6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补助</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因符合地方政府招商引资等地方性扶持政策而获得的补助</w:t>
            </w:r>
          </w:p>
        </w:tc>
        <w:tc>
          <w:tcPr>
            <w:tcW w:w="9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是</w:t>
            </w:r>
          </w:p>
        </w:tc>
        <w:tc>
          <w:tcPr>
            <w:tcW w:w="8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否</w:t>
            </w:r>
          </w:p>
        </w:tc>
        <w:tc>
          <w:tcPr>
            <w:tcW w:w="9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 </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30,000.00</w:t>
            </w:r>
          </w:p>
        </w:tc>
        <w:tc>
          <w:tcPr>
            <w:tcW w:w="1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5" w:hRule="atLeast"/>
        </w:trPr>
        <w:tc>
          <w:tcPr>
            <w:tcW w:w="8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高陵镇人民政府</w:t>
            </w:r>
            <w:r>
              <w:rPr>
                <w:rFonts w:hint="default" w:ascii="Times New Roman" w:hAnsi="Times New Roman" w:cs="Times New Roman"/>
                <w:color w:val="auto"/>
                <w:sz w:val="18"/>
                <w:szCs w:val="18"/>
                <w:highlight w:val="none"/>
              </w:rPr>
              <w:t>2023</w:t>
            </w:r>
            <w:r>
              <w:rPr>
                <w:rFonts w:hint="default" w:ascii="Times New Roman" w:hAnsi="Times New Roman" w:eastAsia="宋体" w:cs="Times New Roman"/>
                <w:color w:val="auto"/>
                <w:sz w:val="18"/>
                <w:szCs w:val="18"/>
                <w:highlight w:val="none"/>
              </w:rPr>
              <w:t>年镇域经济重点工作先进单位奖金</w:t>
            </w:r>
          </w:p>
        </w:tc>
        <w:tc>
          <w:tcPr>
            <w:tcW w:w="11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中共高陵镇委员会、高陵镇人民政府</w:t>
            </w:r>
          </w:p>
        </w:tc>
        <w:tc>
          <w:tcPr>
            <w:tcW w:w="6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奖励</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因符合地方政府招商引资等地方性扶持政策而获得的补助</w:t>
            </w:r>
          </w:p>
        </w:tc>
        <w:tc>
          <w:tcPr>
            <w:tcW w:w="9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是</w:t>
            </w:r>
          </w:p>
        </w:tc>
        <w:tc>
          <w:tcPr>
            <w:tcW w:w="8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否</w:t>
            </w:r>
          </w:p>
        </w:tc>
        <w:tc>
          <w:tcPr>
            <w:tcW w:w="9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 </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50,000.00</w:t>
            </w:r>
          </w:p>
        </w:tc>
        <w:tc>
          <w:tcPr>
            <w:tcW w:w="1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8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高陵镇人民政府中小企业成长工程奖</w:t>
            </w:r>
          </w:p>
        </w:tc>
        <w:tc>
          <w:tcPr>
            <w:tcW w:w="11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石首市科学技术和经济信息化局</w:t>
            </w:r>
          </w:p>
        </w:tc>
        <w:tc>
          <w:tcPr>
            <w:tcW w:w="6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奖励</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因符合地方政府招商引资等地方性扶持政策而获得的补助</w:t>
            </w:r>
          </w:p>
        </w:tc>
        <w:tc>
          <w:tcPr>
            <w:tcW w:w="9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是</w:t>
            </w:r>
          </w:p>
        </w:tc>
        <w:tc>
          <w:tcPr>
            <w:tcW w:w="8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否</w:t>
            </w:r>
          </w:p>
        </w:tc>
        <w:tc>
          <w:tcPr>
            <w:tcW w:w="9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 </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100,000.00</w:t>
            </w:r>
          </w:p>
        </w:tc>
        <w:tc>
          <w:tcPr>
            <w:tcW w:w="1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8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2023</w:t>
            </w:r>
            <w:r>
              <w:rPr>
                <w:rFonts w:hint="default" w:ascii="Times New Roman" w:hAnsi="Times New Roman" w:eastAsia="宋体" w:cs="Times New Roman"/>
                <w:color w:val="auto"/>
                <w:sz w:val="18"/>
                <w:szCs w:val="18"/>
                <w:highlight w:val="none"/>
              </w:rPr>
              <w:t>年度企业奖励</w:t>
            </w:r>
            <w:r>
              <w:rPr>
                <w:rFonts w:hint="default"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进规进限企业奖</w:t>
            </w:r>
            <w:r>
              <w:rPr>
                <w:rFonts w:hint="default" w:ascii="Times New Roman" w:hAnsi="Times New Roman" w:cs="Times New Roman"/>
                <w:color w:val="auto"/>
                <w:sz w:val="18"/>
                <w:szCs w:val="18"/>
                <w:highlight w:val="none"/>
              </w:rPr>
              <w:t>)</w:t>
            </w:r>
          </w:p>
        </w:tc>
        <w:tc>
          <w:tcPr>
            <w:tcW w:w="11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中共随州市委随州高新技术产业开发区工委办公室</w:t>
            </w:r>
          </w:p>
        </w:tc>
        <w:tc>
          <w:tcPr>
            <w:tcW w:w="6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奖励</w:t>
            </w:r>
          </w:p>
        </w:tc>
        <w:tc>
          <w:tcPr>
            <w:tcW w:w="15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随州高新区高质量发展大会特别贡献企业家奖</w:t>
            </w:r>
          </w:p>
        </w:tc>
        <w:tc>
          <w:tcPr>
            <w:tcW w:w="9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是</w:t>
            </w:r>
          </w:p>
        </w:tc>
        <w:tc>
          <w:tcPr>
            <w:tcW w:w="8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否</w:t>
            </w:r>
          </w:p>
        </w:tc>
        <w:tc>
          <w:tcPr>
            <w:tcW w:w="9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 </w:t>
            </w:r>
          </w:p>
        </w:tc>
        <w:tc>
          <w:tcPr>
            <w:tcW w:w="12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60,000.00</w:t>
            </w:r>
          </w:p>
        </w:tc>
        <w:tc>
          <w:tcPr>
            <w:tcW w:w="1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与收益相关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汉川市财政局两化融合示范企业奖补资金</w:t>
            </w:r>
          </w:p>
        </w:tc>
        <w:tc>
          <w:tcPr>
            <w:tcW w:w="114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汉川市财政局</w:t>
            </w:r>
          </w:p>
        </w:tc>
        <w:tc>
          <w:tcPr>
            <w:tcW w:w="6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奖励</w:t>
            </w:r>
          </w:p>
        </w:tc>
        <w:tc>
          <w:tcPr>
            <w:tcW w:w="156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因研究开发、技术更新及改造等获得的补助</w:t>
            </w:r>
          </w:p>
        </w:tc>
        <w:tc>
          <w:tcPr>
            <w:tcW w:w="9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是</w:t>
            </w:r>
          </w:p>
        </w:tc>
        <w:tc>
          <w:tcPr>
            <w:tcW w:w="846"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22"/>
                <w:szCs w:val="22"/>
                <w:highlight w:val="none"/>
              </w:rPr>
              <w:t>否</w:t>
            </w:r>
          </w:p>
        </w:tc>
        <w:tc>
          <w:tcPr>
            <w:tcW w:w="9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 </w:t>
            </w:r>
          </w:p>
        </w:tc>
        <w:tc>
          <w:tcPr>
            <w:tcW w:w="125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center"/>
              <w:rPr>
                <w:rFonts w:hint="default" w:ascii="Times New Roman" w:hAnsi="Times New Roman" w:cs="Times New Roman"/>
                <w:color w:val="auto"/>
                <w:sz w:val="21"/>
                <w:szCs w:val="21"/>
                <w:highlight w:val="none"/>
              </w:rPr>
            </w:pPr>
            <w:r>
              <w:rPr>
                <w:rFonts w:hint="default" w:ascii="Times New Roman" w:hAnsi="Times New Roman" w:cs="Times New Roman"/>
                <w:i w:val="0"/>
                <w:iCs w:val="0"/>
                <w:color w:val="auto"/>
                <w:sz w:val="18"/>
                <w:szCs w:val="18"/>
                <w:highlight w:val="none"/>
              </w:rPr>
              <w:t>200,000.00</w:t>
            </w:r>
          </w:p>
        </w:tc>
        <w:tc>
          <w:tcPr>
            <w:tcW w:w="15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left"/>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sz w:val="18"/>
                <w:szCs w:val="18"/>
                <w:highlight w:val="none"/>
              </w:rPr>
              <w:t>与收益相关</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75、营业外支出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计入当期非经常性损益的金额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罚款支出</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非流动资产毁损报废损失</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162,195.92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8,561.32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484,221.87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8,561.32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76、所得税费用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所得税费用表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当期所得税费用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95,670,808.83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100,882,529.91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793,526.71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40,243,814.75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96,464,335.54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141,126,344.66</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会计利润与所得税费用调整过程</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利润总额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185,367,032.71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按法定/适用税率计算的所得税费用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46,341,758.17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子公司适用不同税率的影响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1,465,590.78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调整以前期间所得税的影响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9,483,914.00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非应税收入的影响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-14,688,250.39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不可抵扣的成本、费用和损失的影响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14,469,938.09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使用前期未确认递延所得税资产的可抵扣亏损的影响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-6,331,638.26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本期未确认递延所得税资产的可抵扣暂时性差异或可抵扣亏损的影响</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45,723,023.15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所得税费用</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96,464,335.54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77、其他综合收益</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详见附注57</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78、现金流量表项目</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与经营活动有关的现金</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收到的其他与经营活动有关的现金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政府补助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25,999,270.80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2,986,611.68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763,770.74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743,987.30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违约金、罚款等营业外收入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3,656,880.80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6,525,524.14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单位往来款及其他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141,962,607.49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47,650,160.92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172,382,529.83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57,906,284.04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收到的其他与经营活动有关的现金说明：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支付的其他与经营活动有关的现金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管理费用中现金支出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6,675,873.67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6,071,143.13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罚款、捐赠等营业外支出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482,195.92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8,561.32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银行手续费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2,452,149.27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2,540,772.59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单位往来款及其他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145,562,412.94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108,923,727.57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155,172,631.80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117,544,204.61</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支付的其他与经营活动有关的现金说明：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与投资活动有关的现金</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收到的其他与投资活动有关的现金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退回购买土地预付款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66,715,000.00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66,715,000.00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收到的重要的与投资活动有关的现金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收到的其他与投资活动有关的现金说明：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支付的其他与投资活动有关的现金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土地复垦保证金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1,729,300.00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1,729,300.00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支付的重要的与投资活动有关的现金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支付的其他与投资活动有关的现金说明：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与筹资活动有关的现金</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收到的其他与筹资活动有关的现金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中国证券登记结算有限责任公司深圳分公司退回未分配股利中登公司退回自派保证金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1,057,007.69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1,057,007.69</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收到的其他与筹资活动有关的现金说明：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支付的其他与筹资活动有关的现金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法人账户透支承诺费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应付票据贴息费用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198,215.47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与使用权资产相关的租赁费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14,585,112.06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21,027,402.08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支付中登公司自派保证金及手续费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1,034,456.65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14,783,327.53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22,986,858.73</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支付的其他与筹资活动有关的现金说明：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筹资活动产生的各项负债变动情况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现金变动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非现金变动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现金变动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非现金变动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短期借款</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4,230,984,364.79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7,161,454,236.46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48,593,611.06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7,034,025,838.98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4,407,006,373.33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长期借款(包含一年内到期部分）</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17,745,403,388.62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1,270,600,000.00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190,830,702.79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1,495,738,631.35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17,711,095,460.06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租赁负债（包含一年内到期部分）</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583,800,199.82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20,976,585.76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14,561,737.49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908,256.88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589,306,791.21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22,560,187,953.23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8,432,054,236.46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260,400,899.61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8,544,326,207.82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908,256.88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22,707,408,624.60</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以净额列报现金流量的说明</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相关事实情况</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采用净额列报的依据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财务影响</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不涉及当期现金收支、但影响企业财务状况或在未来可能影响企业现金流量的重大活动及财务影响</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79、现金流量表补充资料</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现金流量表补充资料</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补充资料</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1．将净利润调节为经营活动现金流量：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88,902,697.17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453,406,239.21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加：资产减值准备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10,255,697.13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9,794,417.10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固定资产折旧、油气资产折耗、生产性生物资产折旧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907,010,588.01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836,431,189.99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使用权资产折旧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19,499,661.19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17,180,921.96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无形资产摊销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10,075,384.91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8,530,223.17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长期待摊费用摊销</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3,616,340.31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3,082,726.89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处置固定资产、无形资产和其他长期资产的损失（收益以“－”号填列）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-13,482,847.18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-1,676,694.53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固定资产报废损失（收益以“－”号填列）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-1,095,182.37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公允价值变动损失（收益以“－”号填列）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财务费用（收益以“－”号填列）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218,651,244.76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263,758,614.58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投资损失（收益以“－”号填列）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1,769,324.40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103,223.52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递延所得税资产减少（增加以“－”号填列）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-9,052,994.34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40,905,724.86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递延所得税负债增加（减少以“－”号填列）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9,846,521.05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-661,910.11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存货的减少（增加以“－”号填列）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227,467,930.49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155,325,402.14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经营性应收项目的减少（增加以“－”号填列）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675,042,373.32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-101,769,871.11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经营性应付项目的增加（减少以“－”号填列）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-476,766,819.09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278,214,995.64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1,671,739,919.76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1,962,625,203.31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2．不涉及现金收支的重大投资和筹资活动：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债务转为资本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一年内到期的可转换公司债券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融资租入固定资产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3．现金及现金等价物净变动情况：</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现金的期末余额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274,085,983.79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233,131,260.91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减：现金的期初余额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229,684,174.16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607,016,139.51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加：现金等价物的期末余额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减：现金等价物的期初余额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44,401,809.63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-373,884,878.60</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本期支付的取得子公司的现金净额</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本期收到的处置子公司的现金净额</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现金和现金等价物的构成</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274,085,983.79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229,684,174.16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可随时用于支付的银行存款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274,085,983.79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229,684,174.16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274,085,983.79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229,684,174.16</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使用范围受限但仍属于现金及现金等价物列示的情况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仍属于现金及现金等价物的理由</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 不属于现金及现金等价物的货币资金</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不属于现金及现金等价物的理由</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 其他重大活动说明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80、所有者权益变动表项目注释</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说明对上年年末余额进行调整的“其他”项目名称及调整金额等事项：</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81、外币货币性项目</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外币货币性项目</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期末外币余额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折算汇率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期末折算人民币余额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货币资金</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长期借款</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其中：美元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欧元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港币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境外经营实体说明，包括对于重要的境外经营实体，应披露其境外主要经营地、记账本位币及选择依据，记账本位币发生变化的还应披露原因。</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82、租赁</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本公司作为承租方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未纳入租赁负债计量的可变租赁付款额</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简化处理的短期租赁或低价值资产的租赁费用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pStyle w:val="4"/>
        <w:keepNext w:val="0"/>
        <w:keepLines w:val="0"/>
        <w:widowControl/>
        <w:suppressLineNumbers w:val="0"/>
        <w:spacing w:before="0" w:beforeAutospacing="0" w:after="0" w:afterAutospacing="0"/>
        <w:ind w:left="0" w:righ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报告期内，公司适用简化处理的短期租赁费用201,800.00元，相应计入主营业务成本、管理费用核算。</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涉及售后租回交易的情况</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本公司作为出租方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作为出租人的经营租赁</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租赁收入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其中：未计入租赁收款额的可变租赁付款额相关的收入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11,837,470.02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11,837,470.02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作为出租人的融资租赁</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未来五年每年未折现租赁收款额</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未折现租赁收款额与租赁投资净额的调节表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作为生产商或经销商确认融资租赁销售损益</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83、数据资源</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84、其他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八、研发支出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基于视频的值班人员工作状态异常及环境风险智能检测方法研究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1,213,592.23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基于关键参量实时监测的锅炉灵活性控制技术研究与示范</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1,013,592.23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基于机器视觉与精确动态定位的摘复钩机器人研究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651,698.10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基于熔盐储能的煤电机组调频调峰供热安全整体解决方案的研究与应用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2,226,415.09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330MW亚临界机组深度调峰下多参数联合抽汽供应系统研究</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1,715,094.33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动火作业、高处作业及脚手架作业反违章智能识别系统的研究与应用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3,343,674.07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基于深调背景下锅炉关键高温部件寿命智能管控平台研究与应用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1,171,882.45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基于智能控制技术在火电厂化学水岛处理工艺中的研究与应用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3,603,732.68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多源传感器融合技术在铁路行车安全中的研究和应用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2,378,361.16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347,311.31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14,439,159.78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3,226,193.87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其中：费用化研发支出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14,439,159.78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3,226,193.87</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1、符合资本化条件的研发项目</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本期增加金额</w:t>
            </w:r>
          </w:p>
        </w:tc>
        <w:tc>
          <w:tcPr>
            <w:tcW w:w="3213"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本期减少金额</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内部开发支出</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确认为无形资产</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转入当期损益</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重要的资本化研发项目</w:t>
      </w:r>
    </w:p>
    <w:p>
      <w:pPr>
        <w:spacing w:before="0" w:after="0" w:line="0" w:lineRule="exact"/>
        <w:jc w:val="left"/>
        <w:rPr>
          <w:rFonts w:hint="default" w:ascii="Times New Roman" w:hAnsi="Times New Roman" w:cs="Times New Roman"/>
          <w:color w:val="auto"/>
          <w:highlight w:val="none"/>
        </w:rPr>
      </w:pP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研发进度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预计完成时间</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预计经济利益产生方式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开始资本化的时点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开始资本化的具体依据</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开发支出减值准备</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本期减少</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减值测试情况</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2、重要外购在研项目</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预期产生经济利益的方式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资本化或费用化的判断标准和具体依据</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九、合并范围的变更</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1、非同一控制下企业合并</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本期发生的非同一控制下企业合并</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964"/>
        <w:gridCol w:w="964"/>
        <w:gridCol w:w="964"/>
        <w:gridCol w:w="964"/>
        <w:gridCol w:w="964"/>
        <w:gridCol w:w="964"/>
        <w:gridCol w:w="964"/>
        <w:gridCol w:w="964"/>
        <w:gridCol w:w="9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被购买方名称</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股权取得时点</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股权取得成本</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股权取得比例</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股权取得方式</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购买日的确定依据</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购买日至期末被购买方的收入</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购买日至期末被购买方的净利润</w:t>
            </w:r>
          </w:p>
        </w:tc>
        <w:tc>
          <w:tcPr>
            <w:tcW w:w="964"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购买日至期末被购买方的现金流</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合并成本及商誉</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--发行或承担的债务的公允价值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--发行的权益性证券的公允价值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--或有对价的公允价值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--购买日之前持有的股权于购买日的公允价值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合并成本合计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减：取得的可辨认净资产公允价值份额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商誉/合并成本小于取得的可辨认净资产公允价值份额的金额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合并成本公允价值的确定方法：</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或有对价及其变动的说明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大额商誉形成的主要原因：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被购买方于购买日可辨认资产、负债</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购买日公允价值</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购买日账面价值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可辨认资产、负债公允价值的确定方法：</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企业合并中承担的被购买方的或有负债：</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购买日之前持有的股权按照公允价值重新计量产生的利得或损失</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是否存在通过多次交易分步实现企业合并且在报告期内取得控制权的交易</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（5） 购买日或合并当期期末无法合理确定合并对价或被购买方可辨认资产、负债公允价值的相关说明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（6） 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2、同一控制下企业合并</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本期发生的同一控制下企业合并</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被合并方名称</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企业合并中取得的权益比例</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构成同一控制下企业合并的依据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合并日的确定依据</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合并当期期初至合并日被合并方的收入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合并当期期初至合并日被合并方的净利润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比较期间被合并方的收入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比较期间被合并方的净利润</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合并成本</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合并成本</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--非现金资产的账面价值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--发行或承担的债务的账面价值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--发行的权益性证券的面值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--或有对价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或有对价及其变动的说明：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合并日被合并方资产、负债的账面价值</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426"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合并日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上期期末</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取得的净资产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企业合并中承担的被合并方的或有负债：</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3、反向购买</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交易基本信息、交易构成反向购买的依据、上市公司保留的资产、负债是否构成业务及其依据、合并成本的确定、按照权益性交易处理时调整权益的金额及其计算：</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4、处置子公司</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本期是否存在丧失子公司控制权的交易或事项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是否存在通过多次交易分步处置对子公司投资且在本期丧失控制权的情形</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5、其他原因的合并范围变动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说明其他原因导致的合并范围变动（如，新设子公司、清算子公司等）及其相关情况：</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十、在其他主体中的权益</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1、在子公司中的权益</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企业集团的构成</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05"/>
        <w:gridCol w:w="1205"/>
        <w:gridCol w:w="1205"/>
        <w:gridCol w:w="1205"/>
        <w:gridCol w:w="1205"/>
        <w:gridCol w:w="1205"/>
        <w:gridCol w:w="1205"/>
        <w:gridCol w:w="1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子公司名称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注册资本</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主要经营地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注册地</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业务性质</w:t>
            </w:r>
          </w:p>
        </w:tc>
        <w:tc>
          <w:tcPr>
            <w:tcW w:w="241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持股比例</w:t>
            </w:r>
          </w:p>
        </w:tc>
        <w:tc>
          <w:tcPr>
            <w:tcW w:w="1205"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取得方式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直接</w:t>
            </w:r>
          </w:p>
        </w:tc>
        <w:tc>
          <w:tcPr>
            <w:tcW w:w="120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间接</w:t>
            </w:r>
          </w:p>
        </w:tc>
        <w:tc>
          <w:tcPr>
            <w:tcW w:w="1205"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国电长源第一发电有限责任公司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34,510.64</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84.42%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87,360.00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湖北省荆门市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湖北省荆门市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98.90%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国能长源荆州热电有限公司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111,360.00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国电长源汉川第一发电有限公司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8,616.48</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国能长源武汉实业有限公司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写字楼出租、物业服务</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国能长源湖北新能源有限公司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38,898.70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湖北省广水市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湖北省广水市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风力发电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国能长源能源销售有限公司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电力销售</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湖北省随州市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湖北省随州市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13,475.00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湖北省汉川市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湖北省汉川市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国能长源安陆新能源有限公司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湖北省安陆市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湖北省安陆市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风力发电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国能长源恩施水电开发有限公司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63,798.85</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国能长源武汉青山热电有限公司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81,587.00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国能长源十堰水电开发有限公司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51,675.00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湖北省十堰市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湖北省十堰市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国能长源汉川发电有限公司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293,950.00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湖北省汉川市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湖北省汉川市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火力发电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同一控制下企业合并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国能长源公安县新能源有限公司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15,667.00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湖北省荆州市公安县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湖北省荆州市公安县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国能长源石首综合能源有限公司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11,961.00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湖北省石首市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湖北省石首市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国能长源随县新能源有限公司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49,804.00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湖北省随州市随县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湖北省随州市随县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国能长源钟祥新能源有限公司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67,869.00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湖北省钟祥市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湖北省钟祥市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30,294.99</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湖北省荆门市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湖北省荆门市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61.82%</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22,580.00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湖北省襄阳市谷城县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湖北省襄阳市谷城县</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国能长源荆门屈家岭新能源有限公司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湖北省荆门市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湖北省荆门市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湖北省潜江市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湖北省潜江市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国能长源巴东新能源有限公司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10,010.00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国能长源新能源开发（江陵县）有限公司</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湖北省荆州市</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光伏发电</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20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设立</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在子公司的持股比例不同于表决权比例的说明：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持有半数或以下表决权但仍控制被投资单位、以及持有半数以上表决权但不控制被投资单位的依据：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对于纳入合并范围的重要的结构化主体，控制的依据：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确定公司是代理人还是委托人的依据：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重要的非全资子公司</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少数股东持股比例</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本期归属于少数股东的损益</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本期向少数股东宣告分派的股利</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期末少数股东权益余额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国电长源第一发电有限责任公司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-2,428,334.86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74,785,114.95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国能长源荆门发电有限公司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589,708.25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18,391,940.28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38.18%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-1,625,238.80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141,526,127.45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国能长源钟祥新能源有限公司</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35.00%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-2,455,513.75</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116,675,797.19</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子公司少数股东的持股比例不同于表决权比例的说明：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重要非全资子公司的主要财务信息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子公司名称</w:t>
            </w:r>
          </w:p>
        </w:tc>
        <w:tc>
          <w:tcPr>
            <w:tcW w:w="444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449" w:type="dxa"/>
            <w:gridSpan w:val="6"/>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资产合计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非流动负债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国电长源第一发电有限责任公司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43,068,604.91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489,943,336.45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533,011,941.36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75,426,125.32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13,778,740.84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89,204,866.16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75,974,375.59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505,669,666.85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581,644,042.44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111,088,103.52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14,394,808.58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125,482,912.10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国能长源荆门发电有限公司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413,398,970.91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1,291,659,232.75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1,705,058,203.66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479,053,755.31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23,143,616.54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502,197,371.85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470,036,727.49</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1,372,490,245.16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1,842,526,972.65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689,486,646.94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13,768,912.73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703,255,559.67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国能长源荆门新能源有限公司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17,602,268.72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949,816,769.80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967,419,038.52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72,996,899.70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523,435,722.03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596,432,621.73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15,793,721.55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975,399,174.35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991,192,895.90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70,461,187.00</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546,318,028.74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616,779,215.74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国能长源钟祥新能源有限公司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27,612,176.41</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1,515,031,000.82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1,542,643,177.23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145,581,985.04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1,053,700,223.78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1,199,282,208.82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24,843,791.23</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1,555,404,677.65</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1,580,248,468.88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156,595,085.17</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1,074,036,566.98</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1,230,631,652.15</w:t>
            </w:r>
          </w:p>
        </w:tc>
      </w:tr>
    </w:tbl>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子公司名称</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经营活动现金流量</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净利润</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综合收益总额</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经营活动现金流量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国电长源第一发电有限责任公司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189,109,392.83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-15,586,231.40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-15,586,231.40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5,690,862.49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247,327,053.13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8,975,603.02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8,975,603.02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9,535,262.11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1,055,638,848.45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53,609,841.19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53,609,841.19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51,462,134.37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1,185,420,826.04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55,397,244.85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55,397,244.85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262,278,929.11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32,608,823.95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-4,256,780.52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-4,256,780.52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30,553,446.65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44,600,769.72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6,185,604.36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6,185,604.36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81,453,456.48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国能长源钟祥新能源有限公司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49,975,671.67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-7,232,735.63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-7,232,735.63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62,523,595.51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66,665,748.20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3,186,849.92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3,186,849.92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55,135,748.86</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使用企业集团资产和清偿企业集团债务的重大限制</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（5） 向纳入合并财务报表范围的结构化主体提供的财务支持或其他支持</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2、在子公司的所有者权益份额发生变化且仍控制子公司的交易</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在子公司所有者权益份额发生变化的情况说明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交易对于少数股东权益及归属于母公司所有者权益的影响</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购买成本/处置对价</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--现金</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--非现金资产的公允价值</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购买成本/处置对价合计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减：按取得/处置的股权比例计算的子公司净资产份额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差额</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其中：调整资本公积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调整盈余公积</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调整未分配利润</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3、在合营企业或联营企业中的权益</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重要的合营企业或联营企业</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合营企业或联营企业名称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主要经营地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注册地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业务性质</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对合营企业或联营企业投资的会计处理方法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直接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间接</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武汉华工创业投资有限责任公司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创业投资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湖北省武汉市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煤炭批发、仓储</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湖北省汉川市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湖北省汉川市</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水泥生产、销售</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湖北咸丰朝阳寺电业有限责任公司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湖北省恩施市咸丰县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湖北省恩施市咸丰县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水力发电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湖北鹤峰桃花山水电有限责任公司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湖北省恩施市鹤峰县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湖北省恩施市鹤峰县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水力发电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湖北巴东沿渡河电业发展有限公司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湖北省恩施市巴东县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湖北省恩施市巴东县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水力发电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国电大渡河咸丰小河水电有限公司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湖北省恩施市咸丰县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湖北省恩施市咸丰县</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水力发电</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在合营企业或联营企业的持股比例不同于表决权比例的说明：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持有20%以下表决权但具有重大影响，或者持有20%或以上表决权但不具有重大影响的依据：</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重要合营企业的主要财务信息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其中：现金和现金等价物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归属于母公司股东权益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按持股比例计算的净资产份额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调整事项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--内部交易未实现利润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对合营企业权益投资的账面价值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存在公开报价的合营企业权益投资的公允价值</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终止经营的净利润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本年度收到的来自合营企业的股利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重要联营企业的主要财务信息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3"/>
        <w:gridCol w:w="643"/>
        <w:gridCol w:w="643"/>
        <w:gridCol w:w="643"/>
        <w:gridCol w:w="643"/>
        <w:gridCol w:w="643"/>
        <w:gridCol w:w="643"/>
        <w:gridCol w:w="643"/>
        <w:gridCol w:w="643"/>
        <w:gridCol w:w="643"/>
        <w:gridCol w:w="643"/>
        <w:gridCol w:w="643"/>
        <w:gridCol w:w="643"/>
        <w:gridCol w:w="643"/>
        <w:gridCol w:w="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4501"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期末余额/本期发生额</w:t>
            </w:r>
          </w:p>
        </w:tc>
        <w:tc>
          <w:tcPr>
            <w:tcW w:w="4501"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武汉华工创业投资有限责任公司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湖北咸丰朝阳寺电业有限责任公司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湖北鹤峰桃花山水电有限责任公司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湖北省巴东县沿渡河电业发展有限公司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国电大渡河（咸丰）小河水电有限公司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武汉华工创业投资有限责任公司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湖北咸丰朝阳寺电业有限责任公司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湖北鹤峰桃花山水电有限责任公司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湖北省巴东县沿渡河电业发展有限公司</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国电大渡河（咸丰）小河水电有限公司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流动资产</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503,559,124.43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130</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646</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689.68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66,043,303.97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32,737,835.76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16,770,616.93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12,145,990.99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6,334,113.97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508,227,850.69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135,212,521.47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57,502,132.23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15,939,460.14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11,393,937.29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6,034,938.75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2,247,053.21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非流动资产</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275,289,163.26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1,808,222.74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84,856,377.01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116,959,992.32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64,818,113.26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458,710,903.59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107,729,405.76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271,279,455.23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1,834,900.99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88,620,447.28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118,918,500.78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67,284,797.95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469,631,880.15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110,896,079.47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资产合计</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778,848,287.69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132</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454</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912.42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150,899,680.98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149,697,828.08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81,588,730.19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470,856,894.58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114,063,519.73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779,507,305.92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137,047,422.46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146,122,579.51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134,857,960.92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78,678,735.24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475,666,818.90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113,143,132.68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流动负债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37,000,314.39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428</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747</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886.02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102,740,606.01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9,613,334.50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2,738,356.34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201,419,167.70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64,187,803.77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38,971,457.66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429,853,649.10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84,506,839.47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6,294,915.22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1,705,307.69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192,274,534.26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62,203,197.09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非流动负债</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63,180,506.11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5,121.56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13,000,000.00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6,442,041.66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242,000,000.00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63,180,506.11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209,459.55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13,000,000.00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6,688,791.66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242,000,000.00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负债合计</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100,180,820.50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428</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747</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886.02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102,745,727.57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22,613,334.50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9,180,398.00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443,419,167.70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64,187,803.77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102,151,963.77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429,853,649.10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84,716,299.02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19,294,915.22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8,394,099.35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434,274,534.26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62,203,197.09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所有者权益合计</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678,667,467.19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-296</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292</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973.6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48,153,953.41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127,084,493.58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72,408,332.19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27,437,726.88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49,875,715.96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677,355,342.15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-292,806,226.64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61,406,280.49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115,563,045.70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70,284,635.89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41,392,284.64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50,939,935.59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少数股东权益</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65,553,358.83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65,813,029.58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归属于母公司股东权益</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613,114,108.36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-296</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292</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973.6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48,153,953.41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127,084,493.58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72,408,332.19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27,437,726.88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49,875,715.96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611,542,312.57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-292,806,226.64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61,406,280.49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115,563,045.70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70,284,635.89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41,392,284.64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50,939,935.59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按持股比例计算的净资产份额</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143,468,701.36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23,086,955.00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55,882,903.03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32,510,128.55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9,477,049.62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24,532,551.01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143,100,901.14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29,475,014.64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50,847,740.11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31,628,086.15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14,487,299.62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24,960,568.44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调整事项</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-264,517.03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8,920,030.58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-371,993.21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9,280,284.11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--商誉</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--内部交易未实现利润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-264,517.03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8,920,030.58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-371,993.21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9,280,284.11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对联营企业权益投资的账面价值</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143,468,701.36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23,086,955.00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55,618,386.00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41,430,159.13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9,477,049.62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24,532,551.01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143,100,901.14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29,475,014.64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50,475,746.90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40,908,370.26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14,487,299.62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24,960,568.44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存在公开报价的联营企业权益投资的公允价值</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28,674,439.08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28,712,996.17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32,690,159.45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22,296,978.14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15,974,473.89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8,439,071.05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31,991,297.00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1,125,943.40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50,561,193.35</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8,269,563.70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7,906,826.20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3,397,830.42</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2,235,288.23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净利润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1,349,694.83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-3</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486</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746.96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-13,308,457.58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11,443,552.10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8,350,626.17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-14,317,601.78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1,479,179.51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-31,505,462.39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12,300.38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-31,491,337.36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5,477,408.84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2,977,373.16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-1,568,033.81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948,319.02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终止经营的净利润</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综合收益总额</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1,349,694.83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-3</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486</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746.96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-13,308,457.58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11,443,552.10</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8,350,626.17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-14,317,601.78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1,479,179.51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-31,505,462.39</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12,300.38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-31,491,337.36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5,477,408.84</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2,977,373.16</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-1,568,033.81</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948,319.02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64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本年度收到的来自联营企业的股利</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2,875,739.38</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4,430,693.43</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9,021,136.27</w:t>
            </w: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64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不重要的合营企业和联营企业的汇总财务信息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下列各项按持股比例计算的合计数</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合营企业或联营企业向本公司转移资金的能力存在重大限制的说明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 合营企业或联营企业发生的超额亏损</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合营企业或联营企业名称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累积未确认前期累计的损失</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本期未确认的损失（或本期分享的净利润）</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本期末累积未确认的损失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-58,561,245.32</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-697,349.39</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-59,258,594.71</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 与合营企业投资相关的未确认承诺</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 与合营企业或联营企业投资相关的或有负债</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4、重要的共同经营</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共同经营名称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主要经营地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注册地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业务性质</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持股比例/享有的份额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直接</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间接</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在共同经营中的持股比例或享有的份额不同于表决权比例的说明：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共同经营为单独主体的，分类为共同经营的依据：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5、在未纳入合并财务报表范围的结构化主体中的权益</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未纳入合并财务报表范围的结构化主体的相关说明：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十一、政府补助</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1、报告期末按应收金额确认的政府补助</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未能在预计时点收到预计金额的政府补助的原因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2、涉及政府补助的负债项目</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3、计入当期损益的政府补助</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会计科目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7,968,510.61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5,534,280.82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440,000.00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18"/>
          <w:szCs w:val="18"/>
          <w:highlight w:val="none"/>
        </w:rPr>
        <w:t>政府补助有关项目详见本附注七、合并财务报表项目注释“51、递延收益 ；74、营业外收入”。</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十二、与金融工具相关的风险</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1、金融工具产生的各类风险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本公司在经营过程中面临各种金融风险：市场风险（包括外汇风险、利率风险和其他价格风险）信用风险和流动性风险。上述金融风险以及本公司为降低这些风险所采取的风险管理政策如下所述 ：</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董事会负责规划并建立本公司的风险管理架构，制定本公司的风险管理政策和相关指引并监督风险管理措施的执行情况。本公司已制定风险管理政策以识别和分析本公司所面临的风险，这些风险管理政策对特定风险进行了明确规定，涵盖了市场风险、信用风险和流动性风险管理等诸多方面。本公司定期评估市场环境及本公司经营活动的变化以决定是否对风险管理政策及系统进行更新。本公司的风险管理由风险管理委员会按照董事会批准的政策开展。风险管理委员会通过与本公司其他业务部门的紧密合作来识别、评价和规避相关风险。本公司内部审计部门就风险管理控制及程序进行定期的审核，并将审核结果上报本公司的审计委员会。</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1.市场风险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（1）外汇风险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外汇风险是指金融工具的公允价值或未来现金流量因外汇汇率变动而发生波动的风险。汇率风险主要源于以记账本位币之外的货币进行计价的金融工具。</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公司的主要经营业务位于中国湖北省内，基本全部以人民币结算，不存在重大汇率风险。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（2）利率风险－现金流量变动风险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利率风险是指金融工具的公允价值或未来现金流量因市场利率变动而发生波动的风险。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截至2025年6月30日，本公司面临的市场利率变动的风险主要与以浮动利率计息的银行借款有关。本公司借款利率稳定且相对较低，利率波动对公司借款利息影响较小</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（3）其他价格风险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其他价格风险是指金融工具的公允价值或未来现金流量因汇率风险和利率风险以外的市场价格变动而发生波动的风险。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本公司其他价格风险主要产生于各类权益工具投资，存在权益工具价格变动的风险。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2.信用风险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信用风险是指交易对手未能履行合同义务而导致本公司发生财务损失的风险。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本公司信用风险主要产生于货币资金、应收票据、应收账款、其他应收款等，于资产负债表日，本公司金融资产的账面价值已代表其最大信用风险敞口。</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本公司货币资金主要为存放于声誉良好并拥有较高信用评级的国有银行及国家能源集团财务公司，本公司认为其不存在重大的信用风险，几乎不会产生因银行违约而导致的重大损失。</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此外，对于应收票据、应收账款和其他应收款等，本公司设定相关政策以控制信用风险敞口。本公司基于对客户的财务状况、从第三方获取担保的可能性、信用记录及其他因素诸如目前市场状况等评估客户的信用资质并设置相应信用期。本公司会定期对客户信用记录进行监控，对于信用记录不良的客户，本公司会采用书面催款、缩短信用期或取消信用期等方式，以确保本公司的整体信用风险在可控的范围内。</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3.流动风险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流动性风险是指企业在履行以交付现金或其他金融资产的方式结算的义务时发生资金短缺的风险。</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的政策是确保拥有充足的现金以偿还到期债务。流动性风险由本公司的财务部门集中控制。财务部门通过监控现金余额、可随时变现的有价证券以及对未来12个月现金流量的滚动预测，确保公司在所有合理预测的情况下拥有充足的资金偿还债务。同时持续监控公司是否符合借款协议的规定，从主要金融机构获得提供足够备用资金的承诺，以满足短期和长期的资金需求。</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本公司将银行借款作为主要资金来源。2025年6月30日，本公司尚未使用的银行借款额度为人民币447.14亿元（2024年12月31日：人民币506.63亿元）。</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2、套期</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公司开展套期业务进行风险管理</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公司开展符合条件套期业务并应用套期会计</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与被套期项目以及套期工具相关账面价值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已确认的被套期项目账面价值中所包含的被套期项目累计公允价值套期调整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套期有效性和套期无效部分来源</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套期会计对公司的财务报表相关影响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套期风险类型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套期类别</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公司开展套期业务进行风险管理、预期能实现风险管理目标但未应用套期会计</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3、金融资产</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转移方式分类</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因转移而终止确认的金融资产</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继续涉入的资产转移金融资产</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十三、公允价值的披露</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1、以公允价值计量的资产和负债的期末公允价值</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7711"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期末公允价值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第一层次公允价值计量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第二层次公允价值计量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第三层次公允价值计量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（三）其他权益工具投资</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47,434,417.62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二、非持续的公允价值计量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2、持续和非持续第一层次公允价值计量项目市价的确定依据</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第一层次输入值是在计量日能够取得的相同资产或负债在活跃市场上未经调整的报价。</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3、持续和非持续第二层次公允价值计量项目，采用的估值技术和重要参数的定性及定量信息</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第二层次输入值是除第一层次输入值外相关资产或负债直接或间接可观察的输入值。</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4、持续和非持续第三层次公允价值计量项目，采用的估值技术和重要参数的定性及定量信息</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由于本公司所持有的其他权益工具投资不存在活跃的交易市场，因此在报告期末会聘请专门的评估团队对持续和非持续的第三层次公允价值计量的项目进行估值，所使用的估值模型主要为市场可比公司模型及资产基础模型等。估值技术的输入值主要包括处于同一行业的上市公司的公允市场价值、比率乘数、不可流通折扣率，及合理评估各项资产负债的公允价值等。</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5、持续的第三层次公允价值计量项目，期初与期末账面价值间的调节信息及不可观察参数敏感性分析</w:t>
      </w:r>
    </w:p>
    <w:p>
      <w:pPr>
        <w:pStyle w:val="4"/>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第三层次输入值是相关资产或负债的不可观察输入值。</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6、持续的公允价值计量项目，本期内发生各层级之间转换的，转换的原因及确定转换时点的政策</w:t>
      </w:r>
    </w:p>
    <w:p>
      <w:pPr>
        <w:pStyle w:val="4"/>
        <w:keepNext w:val="0"/>
        <w:keepLines w:val="0"/>
        <w:widowControl/>
        <w:suppressLineNumbers w:val="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公允价值计量结果所属的层次，由对公允价值计量整体而言具有重要意义的输入值所属的最低层次决定。</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7、本期内发生的估值技术变更及变更原因</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8、不以公允价值计量的金融资产和金融负债的公允价值情况</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9、其他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十四、关联方及关联交易</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1、本企业的母公司情况</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母公司名称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注册地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注册资本</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母公司对本企业的持股比例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母公司对本企业的表决权比例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电源开发投资建设经营和管理、电力生产和销售、煤炭开发及销售、港口及运输相关业务、化工产品生产与销售</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13,209,466.11498万元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59.62%</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本企业的母公司情况的说明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本企业最终控制方是国务院国有资产监督管理委员会。</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2、本企业的子公司情况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本企业子公司的情况详见附注十、在其他主体中的权益。</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3、本企业合营和联营企业情况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本企业重要的合营或联营企业详见附注十、在其他主体中的权益。</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本期与本公司发生关联方交易，或前期与本公司发生关联方交易形成余额的其他合营或联营企业情况如下：</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合营或联营企业名称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武汉华工创业投资有限责任公司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湖北咸丰朝阳寺电业有限责任公司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湖北鹤峰桃花山水电有限责任公司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湖北省巴东县沿渡河电业发展有限公司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国电大渡河（咸丰）小河水电有限公司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河南东升煤业有限公司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联营企业</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4、其他关联方情况</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其他关联方名称</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其他关联方与本企业关系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北京国电电力有限公司大连开发区热电厂</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北京国电电力有限公司浙江分公司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国电甘肃新能源有限公司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国电环境保护研究院有限公司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国电联合动力技术有限公司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国电山西兴能有限公司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国电物流有限公司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国华（湖北）新能源有限公司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国华（江苏）风电有限公司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国家能源集团传媒中心有限公司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国家能源集团电子商务有限公司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国家能源集团福建能源有限责任公司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国家能源集团甘肃电力有限公司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国家能源集团共享服务中心有限公司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国家能源集团广西电力有限公司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国家能源集团贵州电力有限公司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国家能源集团国际工程咨询有限公司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国家能源集团海南电力有限公司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国家能源集团航运有限公司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国家能源集团河南电力有限公司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国家能源集团河南电力有限公司焦作电厂</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国家能源集团江苏电力有限公司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国家能源集团江西电力有限公司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国家能源集团金沙江旭龙水电有限公司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国家能源集团科技环保有限公司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国家能源集团科学技术研究院有限公司武汉分公司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国家能源集团辽宁电力有限公司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国家能源集团煤焦化有限责任公司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国家能源集团内蒙古电力有限公司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国家能源集团宁夏煤业有限责任公司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国家能源集团青海电力有限公司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国家能源集团山东电力有限公司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国家能源集团山西电力有限公司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国家能源集团陕西电力有限公司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国家能源集团陕西神延煤炭有限责任公司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国家能源集团四川发电有限公司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国家能源集团乌海能源有限责任公司老石旦煤矿</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国家能源集团乌海能源有限责任公司骆驼山洗煤厂</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国家能源集团物资有限公司工程监理中心</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国家能源集团物资有限公司华中分公司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国家能源集团西藏电力有限公司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国家能源集团新疆哈密能源化工有限公司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国家能源集团新疆能源化工有限公司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国家能源集团新能源技术研究院有限公司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国家能源集团永州发电有限公司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国家能源集团云南电力有限公司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国家能源集团置业有限公司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国家能源集团置业有限公司北京昌平中心</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国家能源集团资本控股有限公司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国家能源集团资产管理有限公司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国能（北京）电气技术有限公司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国能（北京）综合管理服务有限公司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国能（海南）新能源发展有限公司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国能（惠州）热电有限责任公司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国能（南京）水务环保科技有限公司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国能（绥中）发电有限责任公司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国能（天津）港务有限责任公司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国能（武汉）航运有限公司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国能安徽新能源投资开发有限责任公司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国能包神铁路集团有限责任公司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国能包头煤化工有限责任公司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国能宝日希勒能源有限公司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国能保险经纪（北京）有限公司武汉分公司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国能北电胜利能源有限公司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国能创新油品销售有限公司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国能大渡河（咸丰）小河水电有限公司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国能大渡河大数据服务有限公司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国能大渡河陡岭子水电有限公司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国能大渡河堵河水电有限公司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国能大渡河老渡口水电有限公司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国能大渡河流域水电开发有限公司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国能大渡河新能源投资有限公司富水水力发电厂</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国能大渡河新能源投资有限公司南河水力发电厂</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国能电力工程管理有限公司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国能锅炉压力容器检验有限公司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国能哈尔滨热电有限公司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国能河北沧东发电有限责任公司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国能黑龙江综合能源有限公司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国能黄骅港务有限责任公司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国能吉林龙华热电股份有限公司长春热电一厂</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国能吉林新能源发展有限公司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国能节能技术有限公司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国能科慧（北京）实业有限公司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国能龙源博奇环保科技（汉川）有限公司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国能龙源环保有限公司荆州分公司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国能龙源生态科技（武汉）有限公司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国能南京电力试验研究有限公司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国能宁夏煤业报业有限责任公司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国能氢能工程技术（武汉）有限公司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国能神皖能源有限责任公司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国能数智科技开发（北京）有限公司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国能水务环保有限公司南京分公司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国能朔黄铁路发展有限责任公司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国能思达科技有限公司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国能宿州热电有限公司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国能铁路装备有限责任公司内蒙古分公司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国能乌海能源黄白茨矿业有限责任公司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国能乌海能源五虎山矿业有限责任公司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国能销售集团财务管理有限公司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国能销售集团有限公司天津分公司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国能销售集团有限公司西安分公司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国能新疆化工有限公司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国能新朔铁路有限责任公司大准铁路分公司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国能新朔铁路有限责任公司综合服务分公司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国能新朔准池铁路（山西）有限责任公司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国能新准铁路有限责任公司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国能信控互联技术（河北）有限公司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国能信控技术股份有限公司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国能信息技术有限公司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国能易购（北京）科技有限公司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国能榆林化工有限公司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国能榆林能源有限责任公司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国能浙江能源销售有限公司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国能智深控制技术有限公司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国能重庆铁路运输有限公司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国能珠海港务有限公司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湖北龙源新能源有限公司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龙源（北京）碳资产管理技术有限公司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龙源（北京）新能源工程技术有限公司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龙源保康风力发电有限公司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龙源电力集团股份有限公司财务共享服务分公司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内蒙古阿拉善盟天荣煤炭有限责任公司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内蒙古平庄煤业（集团）有限责任公司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瑞泰人寿保险有限公司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山东国华时代投资发展有限公司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神华（康保）新能源有限责任公司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神华工程技术有限公司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神华煤炭运销有限公司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神华培训中心有限公司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神华神东电力有限责任公司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神华准格尔能源有限责任公司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四川白马循环流化床示范电站有限责任公司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乌海市公乌素煤业有限责任公司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徐州电力高级技工学校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烟台龙源电力技术股份有限公司武汉分公司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长江财产保险股份有限公司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长江财产保险股份有限公司武汉分公司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长沙能发新能源有限公司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中国神华煤制油化工有限公司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中国神华能源股份有限公司广东分公司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中国神华能源股份有限公司河北分公司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中国神华能源股份有限公司湖南分公司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中国神华能源股份有限公司神东煤炭分公司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湖北龙源新能源有限公司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龙源（北京）碳资产管理技术有限公司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龙源（北京）新能源工程技术有限公司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龙源保康风力发电有限公司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龙源电力集团股份有限公司财务共享服务分公司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内蒙古大雁矿业集团有限责任公司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内蒙古平庄煤业（集团）有限责任公司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宁夏工业职业学院</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秦皇岛发电有限责任公司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瑞泰人寿保险有限公司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瑞泰人寿保险有限公司湖北分公司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山东国华时代投资发展有限公司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陕西德源府谷能源有限公司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神华（康保）新能源有限责任公司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神华工程技术有限公司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神华煤炭运销有限公司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神华培训中心有限公司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神华神东电力有限责任公司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神华新街能源有限责任公司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神华准格尔能源有限责任公司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四川白马循环流化床示范电站有限责任公司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天津国能华北电力技术工程有限公司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天津远华海运有限公司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新疆天风发电股份有限公司托里风电厂</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徐州电力高级技工学校</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烟台龙源电力技术股份有限公司武汉分公司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元宝山发电有限责任公司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长江财产保险股份有限公司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控股股东的联营企业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长江财产保险股份有限公司武汉分公司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长沙能发新能源有限公司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中电资产管理有限公司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中国神华煤制油化工有限公司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中国神华煤制油化工有限公司销售分公司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中国神华能源股份有限公司广东分公司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中国神华能源股份有限公司河北分公司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中国神华能源股份有限公司湖南分公司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中国神华能源股份有限公司神东煤炭分公司</w:t>
            </w:r>
          </w:p>
        </w:tc>
        <w:tc>
          <w:tcPr>
            <w:tcW w:w="482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控股股东控制的法人的分支机构</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5、关联交易情况</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购销商品、提供和接受劳务的关联交易</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采购商品/接受劳务情况表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关联交易内容</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获批的交易额度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是否超过交易额度</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国电环境保护研究院有限公司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3,754,676.08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2,229,013.20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499,497.24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国电武汉燃料有限公司沙市分公司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2,664,936.24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国家能源集团电子商务有限公司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441,132.06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500,139.61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国家能源集团科学技术研究院有限公司武汉分公司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7,123,811.33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1,970,283.03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国家能源集团物资有限公司华中分公司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37,178.10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11,880.00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113,289,820.75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285,718,164.42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国能锅炉压力容器检验有限公司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8,396,226.42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58,107,059.96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37,204,826.41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国能水务环保有限公司南京分公司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889,310.96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国能南京电力试验研究有限公司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2,632,075.47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1,320,754.72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2,255,668,484.92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2,744,020,956.47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国能销售集团有限公司西安分公司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122,893,333.26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365,969,385.09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国能信控技术股份有限公司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13,785,522.56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5,303,765.23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国能信息技术有限公司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2,517,184.90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3,770,644.55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国能智深控制技术有限公司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17,518,083.15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47,655,971.17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6,810,008.94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11,034,175.59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国家能源集团资产管理有限公司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8,575.00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瑞泰人寿保险有限公司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207,824.00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长江财产保险股份有限公司武汉分公司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94,339.62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国家能源集团共享服务中心有限公司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3,774,943.94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1,248,106.04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国家能源集团国际工程咨询有限公司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3,642,358.49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3,706,447.92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国家能源集团置业有限公司北京昌平中心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676,045.79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463,838.60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国家能源投资集团有限责任公司煤炭经营分公司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370,352,974.97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513,070,047.69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22,629,526.21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2,058,144.64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国能（武汉）航运有限公司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91,076,437.26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70,253,771.18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神华培训中心有限公司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国家能源集团新疆能源化工有限公司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65,724,093.95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46,779,329.55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国能数智科技开发（北京）有限公司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550,071.70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518,484.90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国能宁夏煤业报业有限责任公司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130,183.48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72,660.46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国家能源集团传媒中心有限公司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204,550.45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81,641.29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国家能源集团河南电力有限公司焦作电厂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4,716.98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国家能源集团物资有限公司工程监理中心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国能电力工程管理有限公司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2,049,056.60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国能龙源环保有限公司荆州分公司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23,903,562.73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25,744,442.59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国能龙源生态科技（武汉）有限公司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304,205.50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龙源（北京）碳资产管理技术有限公司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283,018.87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神华煤炭运销有限公司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1,681,176.47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82,281,732.04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国家能源集团新能源技术研究院有限公司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2,226,415.09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国家能源投资集团有限责任公司电力营销分公司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3,338,578.68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国能（南京）水务环保科技有限公司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444,433.96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国能（绥中）发电有限责任公司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10,377.36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国能创新油品销售有限公司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采购商品</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2,689,743.30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国能科慧（北京）实业有限公司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2,872.64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国能龙源博奇环保科技（汉川）有限公司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16,050,033.72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徐州电力高级技工学校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接受劳务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7,547.16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否</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出售商品/提供劳务情况表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424,645.70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203,658.82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323,173.26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402,195.02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785,704.56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722,765.09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国能保险经纪（北京）有限公司武汉分公司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239,132.01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209,210.07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国能龙源博奇环保科技（汉川）有限公司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34,125,552.38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39,405,716.36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国能龙源环保有限公司荆州分公司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14,043,027.11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13,547,533.63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国能龙源生态科技（武汉）有限公司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5,962,400.08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7,618,270.96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湖北龙源新能源有限公司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317,961.12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442,314.10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龙源保康风力发电有限公司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326,962.57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189,751.49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9,783,357.00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9,021,201.12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9,069.62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140,534.26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国家能源集团物资有限公司华中分公司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出售商品、提供劳务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954,434.96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930,998.91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国能大渡河新能源投资有限公司富水水力发电厂</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122,641.51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34,241.83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国能大渡河新能源投资有限公司南河水力发电厂</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105,471.68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21,883.32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北京国电电力有限公司大连开发区热电厂</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27,735.85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28,301.89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北京国电电力有限公司浙江分公司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国电甘肃新能源有限公司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国电联合动力技术有限公司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国电山西兴能有限公司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国华（湖北）新能源有限公司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1,159,536.36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533,601.87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国华（江苏）风电有限公司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99,716.99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79,316.04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国家能源集团福建能源有限责任公司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18,679.26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国家能源集团甘肃电力有限公司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24,339.63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国家能源集团广西电力有限公司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国家能源集团贵州电力有限公司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7,358.49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国家能源集团国际工程咨询有限公司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国家能源集团海南电力有限公司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18,679.25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国家能源集团航运有限公司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7,358.49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国家能源集团河南电力有限公司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国家能源集团江苏电力有限公司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28,018.87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国家能源集团江西电力有限公司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28,018.88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国家能源集团金沙江旭龙水电有限公司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国家能源集团科技环保有限公司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39,056.61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22,641.51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109,245.29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国家能源集团辽宁电力有限公司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33,679.26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国家能源集团煤焦化有限责任公司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14,717.00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国家能源集团内蒙古电力有限公司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24,339.64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33,679.25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国家能源集团宁夏煤业有限责任公司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25,754.73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28,301.89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国家能源集团青海电力有限公司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国家能源集团山东电力有限公司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16,698.12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国家能源集团山西电力有限公司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国家能源集团陕西电力有限公司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24,339.63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国家能源集团陕西神延煤炭有限责任公司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国家能源集团四川发电有限公司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18,679.25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14,716.98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11,037.74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国家能源集团西藏电力有限公司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国家能源集团新疆哈密能源化工有限公司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国家能源集团新疆能源有限责任公司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国家能源集团永州发电有限公司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65,094.36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15,094.34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国家能源集团云南电力有限公司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24,339.62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国家能源集团置业有限公司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7,358.49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国家能源集团资本控股有限公司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7,358.49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国家能源投资集团有限责任公司天津分公司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国能（海南）新能源发展有限公司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国能（天津）港务有限责任公司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国能安徽新能源投资开发有限责任公司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10,377.36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国能包神铁路集团有限责任公司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11,037.74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国能包头煤化工有限责任公司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国能宝日希勒能源有限公司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11,037.75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国能北电胜利能源有限公司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16,698.12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国能大渡河陡岭子水电有限公司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70,365.48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21,320.76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国能大渡河堵河水电有限公司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59,811.32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23,113.21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国能大渡河老渡口水电有限公司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23,584.91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国能大渡河流域水电开发有限公司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28,018.88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国能哈尔滨热电有限公司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22,641.51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国能河北沧东发电有限责任公司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国能黑龙江综合能源有限公司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国能黄骅港务有限责任公司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11,037.74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国能吉林龙华热电股份有限公司长春热电一厂</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国能吉林新能源发展有限公司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国能神皖能源有限责任公司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24,339.63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国能数智科技开发（北京）有限公司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3,679.25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国能朔黄铁路发展有限责任公司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11,037.74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22,641.51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国能铁路装备有限责任公司内蒙古分公司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国能销售集团财务管理有限公司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14,716.98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754,700.54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国能销售集团有限公司天津分公司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国能新疆化工有限公司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11,037.74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国能信控技术股份有限公司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32,510.27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国能宿州热电有限公司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国能榆林化工有限公司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105,283.02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国能榆林能源有限责任公司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国能浙江能源销售有限公司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国能重庆铁路运输有限公司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国能珠海港务有限公司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3,679.25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龙源电力集团股份有限公司财务共享服务分公司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18,396.23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28,301.89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内蒙古平庄煤业（集团）有限责任公司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11,037.74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山东国华时代投资发展有限公司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神华（康保）新能源有限责任公司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神华工程技术有限公司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神华神东电力有限责任公司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29,716.99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神华准格尔能源有限责任公司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14,716.98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四川白马循环流化床示范电站有限责任公司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长沙能发新能源有限公司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48,113.18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14,150.94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中国神华煤制油化工有限公司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中国神华能源股份有限公司广东分公司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24,339.63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16,981.13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中国神华能源股份有限公司河北分公司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中国神华能源股份有限公司湖南分公司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18,679.25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11,320.75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中国神华能源股份有限公司神东煤炭分公司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22,075.50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22,641.51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国能（惠州）热电有限责任公司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618,867.93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161,327.46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国能氢能工程技术（武汉）有限公司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82,421.52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其他关联方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提供劳务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2,573,180.22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购销商品、提供和接受劳务的关联交易说明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关联受托管理/承包及委托管理/出包情况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本公司受托管理/承包情况表：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受托/承包资产类型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受托/承包起始日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受托/承包终止日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托管收益/承包收益定价依据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本期确认的托管收益/承包收益</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关联托管/承包情况说明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本公司委托管理/出包情况表：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委托方/出包方名称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受托方/承包方名称</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委托/出包资产类型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委托/出包起始日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委托/出包终止日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托管费/出包费定价依据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本期确认的托管费/出包费</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关联管理/出包情况说明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关联租赁情况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本公司作为出租方：</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承租方名称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租赁资产种类</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本期确认的租赁收入</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上期确认的租赁收入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房屋及停车位</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501,001.48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455,348.11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房屋及停车位</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748,971.26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720,148.12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湖北龙源新能源有限公司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房屋及停车位</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464,330.63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450,041.09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国家能源集团物资有限公司华中分公司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房屋及停车位</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1,484,056.24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1,426,944.36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龙源保康风力发电有限公司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483,281.98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468,407.37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国能保险经纪（北京）有限公司武汉分公司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房屋及停车位</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383,706.58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302,920.34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房屋及停车位</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267,615.66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252,921.26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国能氢能工程技术（武汉）有限公司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193,956.86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国能信控技术股份有限公司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73,388.11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国华（湖北）新能源有限公司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房屋</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2,273,769.93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720,148.12</w:t>
            </w:r>
          </w:p>
        </w:tc>
      </w:tr>
    </w:tbl>
    <w:p>
      <w:pPr>
        <w:spacing w:before="10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本公司作为承租方：</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3"/>
        <w:gridCol w:w="803"/>
        <w:gridCol w:w="803"/>
        <w:gridCol w:w="803"/>
        <w:gridCol w:w="803"/>
        <w:gridCol w:w="803"/>
        <w:gridCol w:w="803"/>
        <w:gridCol w:w="803"/>
        <w:gridCol w:w="803"/>
        <w:gridCol w:w="803"/>
        <w:gridCol w:w="803"/>
        <w:gridCol w:w="8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出租方名称</w:t>
            </w:r>
          </w:p>
        </w:tc>
        <w:tc>
          <w:tcPr>
            <w:tcW w:w="803"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租赁资产种类</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简化处理的短期租赁和低价值资产租赁的租金费用（如适用）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未纳入租赁负债计量的可变租赁付款额（如适用）</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支付的租金</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承担的租赁负债利息支出</w:t>
            </w:r>
          </w:p>
        </w:tc>
        <w:tc>
          <w:tcPr>
            <w:tcW w:w="160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增加的使用权资产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803"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80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土地</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190,606.81</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192,595.39</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7,000,971.78</w:t>
            </w:r>
          </w:p>
        </w:tc>
        <w:tc>
          <w:tcPr>
            <w:tcW w:w="80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7,233,445.70</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关联租赁情况说明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关联担保情况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本公司作为担保方</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被担保方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担保是否已经履行完毕</w:t>
            </w:r>
          </w:p>
        </w:tc>
      </w:tr>
    </w:tbl>
    <w:p>
      <w:pPr>
        <w:spacing w:before="10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本公司作为被担保方</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担保是否已经履行完毕</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关联担保情况说明</w:t>
      </w:r>
    </w:p>
    <w:p>
      <w:pPr>
        <w:pStyle w:val="4"/>
        <w:keepNext w:val="0"/>
        <w:keepLines w:val="0"/>
        <w:widowControl/>
        <w:suppressLineNumbers w:val="0"/>
        <w:spacing w:line="400" w:lineRule="atLeast"/>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截至2025年6月30日，本公司不存在对外担保及被担保情况。</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关联方资金拆借</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拆借金额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起始日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到期日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拆入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拆出</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 关联方资产转让、债务重组情况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关联交易内容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国能湖北松滋抽水蓄能有限公司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转让湖北荆州松滋江西观抽水蓄能项目相关资产</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361,390,892.95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 关键管理人员报酬</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关键管理人员薪酬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2,565,334.00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4,708,070.00</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 其他关联交易</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6、关联方应收应付款项</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应收项目</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tc>
        <w:tc>
          <w:tcPr>
            <w:tcW w:w="160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货币资金</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206,775,274.34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160,246,092.12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990,111.38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59,406.68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675,015.60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40,500.94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国能龙源环保有限公司荆州分公司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2,421,778.63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6,027,753.06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国能龙源生态科技（武汉）有限公司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3,006,245.00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2,092,352.00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11,030,221.17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23,999,502.74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国能龙源博奇环保科技（汉川）有限公司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6,389,788.32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17,510,832.01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国家能源集团宁夏煤业有限责任公司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1,108,575.00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国家能源集团乌海能源有限责任公司老石旦煤矿</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493,688.00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国家能源集团乌海能源有限责任公司骆驼山洗煤厂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国能乌海能源黄白茨矿业有限责任公司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305,240.00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305,240.00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国能乌海能源五虎山矿业有限责任公司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474,500.00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40,378.00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国能新朔铁路有限责任公司大准铁路分公司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6,435,325.00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国能新朔铁路有限责任公司综合服务分公司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6,968.00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国能新朔准池铁路（山西）有限责任公司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2,541,734.00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国能新准铁路有限责任公司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509,925.00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内蒙古阿拉善盟天荣煤炭有限责任公司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16,770.00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乌海市公乌素煤业有限责任公司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435,058.00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国华（湖北）新能源有限公司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349,467.26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国华（江苏）风电有限公司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21,150.00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国能（北京）综合管理服务有限公司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国家能源集团共享服务中心有限公司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4,140,422.22</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3,767,840.94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国家能源集团新疆能源有限责任公司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52,615,318.28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17,150,986.01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国能数智科技开发（北京）有限公司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383,830.20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383,830.20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307,834,291.50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106,938,192.15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54,944,925.54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45,728,560.28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瑞泰人寿保险有限公司湖北分公司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1,459,190.85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208,282.85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国家能源集团置业有限公司北京昌平中心</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15,289.67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6,700.15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国家能源集团传媒中心有限公司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60,375.00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131,095.00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国家能源投资集团有限责任公司煤炭经营分公司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长江财产保险股份有限公司武汉分公司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17,164.19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188,679.24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国家能源集团河南电力有限公司焦作电厂</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国能（绥中）发电有限责任公司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预付款项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徐州电力高级技工学校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河南东升煤业有限公司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国电长源河南煤业有限公司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禹州市安兴煤业有限公司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禹州市兴华煤业有限公司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国能龙源生态科技（武汉）有限公司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395,438.96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427,720.17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国能大渡河老渡口水电有限公司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1,162,218.53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国能大渡河（咸丰）小河水电有限公司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1,149,035.10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652,432.48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国电物流有限公司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59,356.00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59,356.00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59,356.00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59,356.00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其他关联方</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866,700.00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922,836.04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938,333.33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国能易购（北京）科技有限公司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282,523,431.19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324,830,688.66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国能智深控制技术有限公司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997,284.45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17,320,311.00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876,935.00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其他非流动资产</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国能（北京）电气技术有限公司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1,180,947.30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1,233,119,456.28</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290,187,081.37</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1,078,316,254.21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290,168,175.63</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应付项目</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关联方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短期借款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660,392,888.88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1,672,043,152.29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国能创新油品销售有限公司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359,130.61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国电环境保护研究院有限公司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2,710,619.47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国能龙源博奇环保科技（汉川）有限公司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3,807,120.65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国家能源集团国际工程咨询有限公司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3,359,671.57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2,351,275.34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6,901,805.65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528,000.00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国家能源集团物资有限公司工程监理中心</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56,603.77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56,603.77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24,642,913.27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26,296,136.07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国能水务环保有限公司南京分公司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21,027,316.02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34,426,109.84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国能（北京）电气技术有限公司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1,607,775.60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6,580,000.00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785,644.80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国能龙源环保有限公司荆州分公司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2,768,141.59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12,286,842.32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国能节能技术有限公司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930,700.00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1,755,700.00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国能数智科技开发（北京）有限公司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3,396,226.41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3,542,452.83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国能销售集团有限公司西安分公司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44,879,714.03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47,863,387.02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国能信控互联技术（河北）有限公司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541,450.00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国能信控技术股份有限公司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7,711,510.79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10,900,688.99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国能信息技术有限公司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3,715,314.15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1,631,250.00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国能易购（北京）科技有限公司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1,970,676.98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国能（武汉）航运有限公司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43,134,568.42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26,161,925.19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国能智深控制技术有限公司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12,242,612.40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12,242,612.40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龙源（北京）碳资产管理技术有限公司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330,188.68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龙源（北京）新能源工程技术有限公司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599,800.00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859,800.00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28,417,513.34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48,514,540.92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9,734,037.84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12,164,019.84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2,344,874.63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168,864,930.65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神华煤炭运销有限公司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23,084,094.31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国家能源集团新能源技术研究院有限公司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7,080,000.00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5,566,037.74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192,889.91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192,889.91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国家能源投资集团有限责任公司电力营销分公司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2,915,691.60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国能（南京）水务环保科技有限公司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446,132.08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国能大渡河大数据服务有限公司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3,450,197.80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6,368,854.00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应付账款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国家能源集团电子商务有限公司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应付票据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175,000,000.00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168,702,597.62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应付票据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合同负债</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258,633.65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合同负债</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国能氢能工程技术（武汉）有限公司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829,135.13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预收款项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国能氢能工程技术（武汉）有限公司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67,884.90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国电联合动力技术有限公司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5,394,360.00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8,394,360.00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729,105.44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国华（湖北）新能源有限公司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189,060.36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121,175.46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33,042,577.28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33,042,577.28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国能保险经纪（北京）有限公司武汉分公司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65,948.65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国能水务环保有限公司南京分公司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4,209,412.85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4,209,412.85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国能龙源博奇环保科技（汉川）有限公司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37,293,301.93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41,326,581.52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国能大渡河新能源投资有限公司富水水力发电厂</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国能（北京）电气技术有限公司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37,950.00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37,950.00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1,843,607.05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1,843,607.05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国能龙源环保有限公司荆州分公司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1,458,658.08</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1,458,658.08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国能节能技术有限公司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54,300.00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72,240.00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国能数智科技开发（北京）有限公司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国能思达科技有限公司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175,960.00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175,960.00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国能信控技术股份有限公司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2,062,021.56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1,419,021.56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国能智深控制技术有限公司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3,331,030.40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3,420,730.40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湖北龙源新能源有限公司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73,820.57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73,820.57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龙源保康风力发电有限公司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76,833.20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76,833.20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3,101,430.00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3,874,344.00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烟台龙源电力技术股份有限公司武汉分公司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14,210.00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14,210.00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国电环境保护研究院有限公司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455,040.00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455,040.00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国家能源集团共享服务中心有限公司</w:t>
            </w: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150,458.82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72,018.53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国能信控互联技术（河北）有限公司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28,462.50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28,462.50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国能大渡河大数据服务有限公司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17,974.44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17,974.44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神华神东电力有限责任公司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其他应付款</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350,000.00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长期借款（含一年内到期）</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国家能源集团财务有限公司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9,465,152,633.11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9,517,136,076.44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租赁负债（含一年内到期）</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8,040,915.84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7,839,388.70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10,665,242,788.56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11,922,734,811.77</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7、关联方承诺</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十五、股份支付</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1、股份支付总体情况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2、以权益结算的股份支付情况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3、以现金结算的股份支付情况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4、本期股份支付费用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5、股份支付的修改、终止情况</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6、其他 </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十六、承诺及或有事项</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1、重要承诺事项</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资产负债表日存在的重要承诺</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2、或有事项</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资产负债表日存在的重要或有事项</w:t>
      </w:r>
    </w:p>
    <w:p>
      <w:pPr>
        <w:pStyle w:val="4"/>
        <w:keepNext w:val="0"/>
        <w:keepLines w:val="0"/>
        <w:widowControl/>
        <w:suppressLineNumbers w:val="0"/>
        <w:spacing w:before="0" w:beforeAutospacing="0" w:after="0" w:afterAutospacing="0" w:line="400" w:lineRule="atLeast"/>
        <w:ind w:left="0" w:righ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截至2025年6月30日，本公司无需要披露的重大或有事项。</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公司没有需要披露的重要或有事项，也应予以说明</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公司不存在需要披露的重要或有事项。</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十七、资产负债表日后事项</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1、重要的非调整事项</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对财务状况和经营成果的影响数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无法估计影响数的原因</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2、利润分配情况</w:t>
      </w:r>
    </w:p>
    <w:p>
      <w:pPr>
        <w:spacing w:before="0" w:after="0" w:line="0" w:lineRule="exact"/>
        <w:jc w:val="left"/>
        <w:rPr>
          <w:rFonts w:hint="default" w:ascii="Times New Roman" w:hAnsi="Times New Roman" w:cs="Times New Roman"/>
          <w:color w:val="auto"/>
          <w:highlight w:val="none"/>
        </w:rPr>
      </w:pP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3、销售退回</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4、其他资产负债表日后事项说明</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十八、其他重要事项</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1、前期会计差错更正</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追溯重述法</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会计差错更正的内容</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处理程序</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受影响的各个比较期间报表项目名称</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累积影响数</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未来适用法</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会计差错更正的内容</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批准程序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采用未来适用法的原因</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2、债务重组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3、资产置换</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非货币性资产交换</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其他资产置换</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4、年金计划</w:t>
      </w:r>
    </w:p>
    <w:p>
      <w:pPr>
        <w:pStyle w:val="4"/>
        <w:keepNext w:val="0"/>
        <w:keepLines w:val="0"/>
        <w:widowControl/>
        <w:suppressLineNumbers w:val="0"/>
        <w:spacing w:line="400" w:lineRule="atLeast"/>
        <w:ind w:left="0" w:firstLine="420"/>
        <w:jc w:val="both"/>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1"/>
          <w:szCs w:val="21"/>
          <w:highlight w:val="none"/>
        </w:rPr>
        <w:t>根据《中华人民共和国劳动法》、《企业年金试行办法》等规定，公司制定了企业年金计划。本计划企业年金所需资金由公司和员工个人共同缴纳，公司缴费每年不超过本公司上年度员工工资总额的8%，并按国家有关规定列支成本。与上年度相比，本报告期内年金计划的缴费比例未发生变化。</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5、终止经营</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收入</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利润总额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所得税费用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净利润</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归属于母公司所有者的终止经营利润</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6、分部信息</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报告分部的确定依据与会计政策</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报告分部的财务信息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分部间抵销</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公司无报告分部的，或者不能披露各报告分部的资产总额和负债总额的，应说明原因</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7、其他对投资者决策有影响的重要交易和事项</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8、其他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十九、母公司财务报表主要项目注释</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1、应收账款</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按账龄披露</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按坏账计提方法分类披露</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按组合计提坏账准备的应收账款</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应收国家电网公司电费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14,716,123.01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14,716,123.01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无回收风险应收款项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38,889.00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38,889.00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2,766,467.66</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按组合计提坏账准备类别名称：</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应收国家电网公司电费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14,716,123.01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14,716,123.01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确定该组合依据的说明：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如是按照预期信用损失一般模型计提应收账款坏账准备：</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本期计提、收回或转回的坏账准备情况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本期计提坏账准备情况：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0" w:lineRule="exact"/>
        <w:jc w:val="left"/>
        <w:rPr>
          <w:rFonts w:hint="default" w:ascii="Times New Roman" w:hAnsi="Times New Roman" w:cs="Times New Roman"/>
          <w:color w:val="auto"/>
          <w:highlight w:val="none"/>
        </w:rPr>
      </w:pP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 本期实际核销的应收账款情况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其中重要的应收账款核销情况：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应收账款核销说明：</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 按欠款方归集的期末余额前五名的应收账款和合同资产情况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应收账款和合同资产期末余额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占应收账款和合同资产期末余额合计数的比例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应收账款坏账准备和合同资产减值准备期末余额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国网湖北省电力有限公司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14,716,123.01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14,716,123.01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上海申能电力销售有限公司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38,889.00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38,889.00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14,755,012.01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2、其他应收款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2,351,040,099.96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2,366,134,671.32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2,501,040,099.96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2,366,134,671.32</w:t>
            </w:r>
          </w:p>
        </w:tc>
      </w:tr>
    </w:tbl>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应收利息</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应收利息分类</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重要逾期利息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借款单位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逾期时间</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逾期原因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是否发生减值及其判断依据</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按坏账计提方法分类披露</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本期计提、收回或转回的坏账准备的情况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5） 本期实际核销的应收利息情况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其中重要的应收利息核销情况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应收股利</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应收股利分类</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项目(或被投资单位)</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普通股股利-国能长源汉川发电有限公司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重要的账龄超过1年的应收股利</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项目(或被投资单位)</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未收回的原因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是否发生减值及其判断依据</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按坏账计提方法分类披露</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本期计提、收回或转回的坏账准备的情况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其他变动</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其中本期坏账准备收回或转回金额重要的：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5） 本期实际核销的应收股利情况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其中重要的应收股利核销情况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3"/>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其他应收款</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1） 其他应收款按款项性质分类情况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款项性质</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备用金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23,872.38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26,943.37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保证金、押金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其他单位间往来款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长源内部往来款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2,348,039,492.28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2,363,401,690.66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7,698,811.56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7,428,113.55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2,642,300,694.91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2,657,395,266.27</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2） 按账龄披露</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期末账面余额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期初账面余额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1年以内（含1年）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1,863,709,713.17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1,675,598,727.73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1至2年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423,009,977.35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471,860,757.31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2至3年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3,570,745.48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67,296,989.23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352,010,258.91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442,638,792.00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3至4年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6,539,288.50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46,597,038.50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4至5年</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9,488,432.86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10,035,082.86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5年以上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335,982,537.55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386,006,670.64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2,642,300,694.91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2,657,395,266.27</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3） 按坏账计提方法分类披露</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381" w:type="dxa"/>
            <w:gridSpan w:val="5"/>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比例</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按单项计提坏账准备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10.78%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2,355,782,176.22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89.16%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2,351,040,099.96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2,370,876,747.58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89.22%</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2,366,134,671.32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无回收风险应收款项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2,348,045,695.53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86.65%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2,348,045,695.53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2,363,448,634.03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88.94%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2,363,448,634.03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其他款项</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7,736,480.69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61.30%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2,994,404.43</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7,428,113.55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0.28%</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63.84%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2,686,037.29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2,642,300,694.91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291,260,594.95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2,351,040,099.96</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2,657,395,266.27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291,260,594.95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2,366,134,671.32</w:t>
            </w: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按单项计提坏账准备类别名称：</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名称</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计提理由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国电长源河南煤业有限公司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对方单位已破产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河南东升煤业有限公司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对方单位已破产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禹州市安兴煤业有限公司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3,039,516.14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对方单位已破产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禹州市兴华煤业有限公司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3,218,313.14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对方单位已破产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按组合计提坏账准备类别名称：</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名称</w:t>
            </w:r>
          </w:p>
        </w:tc>
        <w:tc>
          <w:tcPr>
            <w:tcW w:w="7229"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无回收风险应收款项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2,348,045,695.53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其他款项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7,736,480.69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2,355,782,176.22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确定该组合依据的说明：</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按预期信用损失一般模型计提坏账准备：</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第一阶段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第二阶段</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第三阶段</w:t>
            </w:r>
          </w:p>
        </w:tc>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未来12个月预期信用损失</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整个存续期预期信用损失（未发生信用减值）</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整个存续期预期信用损失（已发生信用减值）</w:t>
            </w:r>
          </w:p>
        </w:tc>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2025年1月1日余额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291,260,594.95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2025年1月1日余额在本期</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2025年6月30日余额</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291,260,594.95</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各阶段划分依据和坏账准备计提比例</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损失准备本期变动金额重大的账面余额变动情况</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4） 本期计提、收回或转回的坏账准备情况</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本期计提坏账准备情况：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类别</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5508"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本期变动金额</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收回或转回</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转销或核销</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单项计提坏账准备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286,518,518.69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按组合计提坏账准备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4,742,076.26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291,260,594.95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291,260,594.95</w:t>
            </w:r>
          </w:p>
        </w:tc>
      </w:tr>
    </w:tbl>
    <w:p>
      <w:pPr>
        <w:spacing w:before="10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其中本期坏账准备转回或收回金额重要的：</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转回或收回金额</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转回原因</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收回方式</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确定原坏账准备计提比例的依据及其合理性</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5） 本期实际核销的其他应收款情况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820"/>
        <w:gridCol w:w="48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82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r>
    </w:tbl>
    <w:p>
      <w:pPr>
        <w:spacing w:before="10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其中重要的其他应收款核销情况：</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核销金额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核销原因</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履行的核销程序</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款项是否由关联交易产生</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其他应收款核销说明：</w:t>
      </w:r>
    </w:p>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6） 按欠款方归集的期末余额前五名的其他应收款情况</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06"/>
        <w:gridCol w:w="1606"/>
        <w:gridCol w:w="1606"/>
        <w:gridCol w:w="1606"/>
        <w:gridCol w:w="1606"/>
        <w:gridCol w:w="16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单位名称</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款项的性质</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账龄</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占其他应收款期末余额合计数的比例</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坏账准备期末余额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国能长源汉川发电有限公司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617,000,000.00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23.35%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国能长源恩施水电开发有限公司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524,278,476.83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1年以内250,382,576.83；1-2年273,895,900.00</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国能长源武汉青山热电有限公司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318,510,344.44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一年以内</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12.05%</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国电长源河南煤业有限公司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4-5年180,000.00;5年以上272,780,689.41</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10.33%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国能长源荆州热电有限公司</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往来款</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176,006,117.04</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一年以内166,548,616.65;1-2年945,7500.39</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6.66%</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1,908,755,627.72</w:t>
            </w:r>
          </w:p>
        </w:tc>
        <w:tc>
          <w:tcPr>
            <w:tcW w:w="160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72.23%</w:t>
            </w:r>
          </w:p>
        </w:tc>
        <w:tc>
          <w:tcPr>
            <w:tcW w:w="160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272,960,689.41</w:t>
            </w:r>
          </w:p>
        </w:tc>
      </w:tr>
    </w:tbl>
    <w:p>
      <w:pPr>
        <w:keepNext/>
        <w:keepLines/>
        <w:spacing w:before="300" w:after="300" w:line="280" w:lineRule="exact"/>
        <w:jc w:val="left"/>
        <w:outlineLvl w:val="4"/>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7） 因资金集中管理而列报于其他应收款</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3、长期股权投资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账面余额</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账面价值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对子公司投资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13,281,063,993.19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12,981,063,993.19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12,872,063,993.19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300,000,000.00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12,572,063,993.19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对联营、合营企业投资</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228,377,038.70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143,468,701.36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228,009,238.48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143,100,901.14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13,509,441,031.89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384,908,337.34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13,124,532,694.55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13,100,073,231.67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384,908,337.34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12,715,164,894.33</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对子公司投资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被投资单位</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期初余额（账面价值）</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减值准备期初余额</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本期增减变动</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期末余额（账面价值）</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追加投资</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减少投资</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计提减值准备</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国电长源第一发电有限责任公司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358,649,006.77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358,649,006.77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879,709,404.70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879,709,404.70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国能长源荆州热电有限公司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1,114,347,000.00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1,114,347,000.00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国电长源汉川第一发电有限公司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1,312,998,700.85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1,312,998,700.85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国能长源武汉实业有限公司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国能长源湖北新能源有限公司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381,487,000.00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388,987,000.00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国能长源能源销售有限公司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200,010,000.00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200,010,000.00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685,500,000.00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685,500,000.00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134,750,000.00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134,750,000.00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国能长源安陆新能源有限公司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92,700,000.00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92,700,000.00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国能长源石首综合能源有限公司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119,610,000.00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119,610,000.00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187,278,100.00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187,278,100.00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国能长源钟祥新能源有限公司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国能长源随县新能源有限公司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456,200,000.00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459,200,000.00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国能长源公安县新能源有限公司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156,670,000.00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156,670,000.00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128,000,000.00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218,800,000.00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225,800,000.00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国能长源荆门屈家岭新能源有限公司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国能长源巴东新能源有限公司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90,600,000.00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100,100,000.00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国电汉川发电有限公司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2,590,500,000.00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349,000,000.00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2,939,500,000.00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国电青山热电有限公司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685,225,809.72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685,225,809.72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国能长源十堰水电开发有限公司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516,750,000.00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516,750,000.00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国电恩施水电开发有限公司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1,689,278,971.15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1,689,278,971.15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国电长源河南煤业有限公司</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12,572,063,993.19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409,000,000.00</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12,981,063,993.19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300,000,000.00</w:t>
            </w:r>
          </w:p>
        </w:tc>
      </w:tr>
    </w:tbl>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对联营、合营企业投资</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投资单位</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减值准备期初余额</w:t>
            </w:r>
          </w:p>
        </w:tc>
        <w:tc>
          <w:tcPr>
            <w:tcW w:w="5932" w:type="dxa"/>
            <w:gridSpan w:val="8"/>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本期增减变动</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期末余额（账面价值）</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减值准备期末余额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vMerge w:val="continue"/>
            <w:tcBorders>
              <w:top w:val="single" w:color="auto" w:sz="2" w:space="0"/>
              <w:left w:val="single" w:color="auto" w:sz="2" w:space="0"/>
              <w:bottom w:val="single" w:color="auto" w:sz="2" w:space="0"/>
              <w:right w:val="single" w:color="auto" w:sz="2" w:space="0"/>
            </w:tcBorders>
            <w:vAlign w:val="center"/>
          </w:tcPr>
          <w:p>
            <w:pPr>
              <w:rPr>
                <w:rFonts w:hint="default" w:ascii="Times New Roman" w:hAnsi="Times New Roman" w:cs="Times New Roman"/>
                <w:color w:val="auto"/>
                <w:highlight w:val="none"/>
              </w:rPr>
            </w:pP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追加投资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减少投资</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权益法下确认的投资损益</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其他综合收益调整</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其他权益变动</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宣告发放现金股利或利润</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计提减值准备</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一、合营企业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二、联营企业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武汉华工创业投资有限责任公司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143,100,901.14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367,800.22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143,468,701.36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河南东升煤业有限公司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小计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143,100,901.14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367,800.22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143,468,701.36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143,100,901.14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367,800.22</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143,468,701.36</w:t>
            </w:r>
          </w:p>
        </w:tc>
        <w:tc>
          <w:tcPr>
            <w:tcW w:w="74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84,908,337.34</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可收回金额按公允价值减去处置费用后的净额确定</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可收回金额按预计未来现金流量的现值确定</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前述信息与以前年度减值测试采用的信息或外部信息明显不一致的差异原因</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公司以前年度减值测试采用信息与当年实际情况明显不一致的差异原因</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其他说明</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公司联营企业河南东升煤业有限公司、国电武汉燃料有限公司有关情况详见第十节财务报告七、18.长期股权投资。</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4、营业收入和营业成本</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28"/>
        <w:gridCol w:w="1928"/>
        <w:gridCol w:w="1928"/>
        <w:gridCol w:w="1928"/>
        <w:gridCol w:w="19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856"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成本</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收入</w:t>
            </w:r>
          </w:p>
        </w:tc>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主营业务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17,738,493.61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31,390,053.21</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2,315,961.02</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1,324,417.66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其他业务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14,516,968.29</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11,286.87</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11,966,020.28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92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32,255,461.90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31,401,340.08</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14,281,981.30</w:t>
            </w:r>
          </w:p>
        </w:tc>
        <w:tc>
          <w:tcPr>
            <w:tcW w:w="192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1,335,704.56</w:t>
            </w:r>
          </w:p>
        </w:tc>
      </w:tr>
    </w:tbl>
    <w:p>
      <w:pPr>
        <w:spacing w:before="10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营业收入、营业成本的分解信息：</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6"/>
        <w:gridCol w:w="8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合同分类</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分部1</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分部2</w:t>
            </w:r>
          </w:p>
        </w:tc>
        <w:tc>
          <w:tcPr>
            <w:tcW w:w="175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发电</w:t>
            </w:r>
          </w:p>
        </w:tc>
        <w:tc>
          <w:tcPr>
            <w:tcW w:w="1753"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1753"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营业收入</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营业成本</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业务类型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电力及热力销售</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17,738,493.61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31,390,053.21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17,738,493.61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31,390,053.21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固定资产租赁、物业管理</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385,978.85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11,286.87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385,978.85</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11,286.87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14,130,989.44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14,130,989.44</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按经营地区分类</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湖北省</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17,738,493.61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31,390,053.21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14,516,968.29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11,286.87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32,255,461.90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31,401,340.08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市场或客户类型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合同类型</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按商品转让的时间分类</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按合同期限分类</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按销售渠道分类</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其中：</w:t>
            </w: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87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17,738,493.61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31,390,053.21</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14,516,968.29</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11,286.87</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32,255,461.90</w:t>
            </w:r>
          </w:p>
        </w:tc>
        <w:tc>
          <w:tcPr>
            <w:tcW w:w="87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31,401,340.08</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与履约义务相关的信息：</w:t>
      </w:r>
    </w:p>
    <w:p>
      <w:pPr>
        <w:spacing w:before="0" w:after="0" w:line="0" w:lineRule="exact"/>
        <w:jc w:val="left"/>
        <w:rPr>
          <w:rFonts w:hint="default" w:ascii="Times New Roman" w:hAnsi="Times New Roman" w:cs="Times New Roman"/>
          <w:color w:val="auto"/>
          <w:highlight w:val="none"/>
        </w:rPr>
      </w:pP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履行履约义务的时间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重要的支付条款</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公司承诺转让商品的性质</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是否为主要责任人</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公司承担的预期将退还给客户的款项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公司提供的质量保证类型及相关义务</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pStyle w:val="4"/>
        <w:keepNext w:val="0"/>
        <w:keepLines w:val="0"/>
        <w:widowControl/>
        <w:suppressLineNumbers w:val="0"/>
        <w:spacing w:before="100" w:beforeAutospacing="0" w:after="100" w:afterAutospacing="0"/>
        <w:ind w:left="0" w:right="0"/>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18"/>
          <w:szCs w:val="18"/>
          <w:highlight w:val="none"/>
        </w:rPr>
        <w:t>详见本附注“第十节财务报告五、39、合同负债”相关披露。</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与分摊至剩余履约义务的交易价格相关的信息：</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本报告期末已签订合同、但尚未履行或尚未履行完毕的履约义务所对应的收入金额为0.00元，其中，0.00元预计将于0年度确认收入，0.00元预计将于0年度确认收入，0.00元预计将于0年度确认收入。</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重大合同变更或重大交易价格调整</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会计处理方法</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对收入的影响金额</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其他说明：</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5、投资收益</w:t>
      </w:r>
    </w:p>
    <w:p>
      <w:pPr>
        <w:spacing w:before="40" w:after="4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成本法核算的长期股权投资收益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权益法核算的长期股权投资收益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367,800.22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-8,827,736.90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150,367,800.22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151,172,263.10</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6、其他</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二十、补充资料</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1、当期非经常性损益明细表</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金额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非流动性资产处置损益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13,482,847.18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计入当期损益的政府补助（与公司正常经营业务密切相关、符合国家政策规定、按照确定的标准享有、对公司损益产生持续影响的政府补助除外）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6,615,967.02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除上述各项之外的其他营业外收入和支出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4,269,867.25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减：所得税影响额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2,224,771.49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360" w:firstLineChars="200"/>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少数股东权益影响额（税后）</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22,049.57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22,121,860.39</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r>
    </w:tbl>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其他符合非经常性损益定义的损益项目的具体情况：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spacing w:before="100" w:after="10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公司不存在其他符合非经常性损益定义的损益项目的具体情况。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将《公开发行证券的公司信息披露解释性公告第1号——非经常性损益》中列举的非经常性损益项目界定为经常性损益项目的情况说明</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2、净资产收益率及每股收益</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报告期利润</w:t>
            </w:r>
          </w:p>
        </w:tc>
        <w:tc>
          <w:tcPr>
            <w:tcW w:w="2410"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加权平均净资产收益率</w:t>
            </w:r>
          </w:p>
        </w:tc>
        <w:tc>
          <w:tcPr>
            <w:tcW w:w="4820"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每股收益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pPr>
              <w:rPr>
                <w:rFonts w:hint="default" w:ascii="Times New Roman" w:hAnsi="Times New Roman" w:cs="Times New Roman"/>
                <w:color w:val="auto"/>
                <w:highlight w:val="none"/>
              </w:rPr>
            </w:pP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基本每股收益（元/股）</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稀释每股收益（元/股）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0.0272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0.0272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扣除非经常性损益后归属于公司普通股股东的净利润</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0.53%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0.0209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0.0209</w:t>
            </w:r>
          </w:p>
        </w:tc>
      </w:tr>
    </w:tbl>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3、境内外会计准则下会计数据差异</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 同时按照国际会计准则与按中国会计准则披露的财务报告中净利润和净资产差异情况</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 同时按照境外会计准则与按中国会计准则披露的财务报告中净利润和净资产差异情况</w:t>
      </w:r>
    </w:p>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□适用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不适用</w:t>
      </w:r>
    </w:p>
    <w:p>
      <w:pPr>
        <w:keepNext/>
        <w:keepLines/>
        <w:spacing w:before="300" w:after="300" w:line="280" w:lineRule="exact"/>
        <w:jc w:val="left"/>
        <w:outlineLvl w:val="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 境内外会计准则下会计数据差异原因说明，对已经境外审计机构审计的数据进行差异调节的，应注明该境外机构的名称</w:t>
      </w:r>
    </w:p>
    <w:p>
      <w:pPr>
        <w:keepNext/>
        <w:keepLines/>
        <w:spacing w:before="300" w:after="300" w:line="280" w:lineRule="exact"/>
        <w:jc w:val="left"/>
        <w:outlineLvl w:val="2"/>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4、其他</w:t>
      </w:r>
    </w:p>
    <w:p>
      <w:pPr>
        <w:pStyle w:val="2"/>
        <w:rPr>
          <w:rFonts w:hint="default" w:ascii="Times New Roman" w:hAnsi="Times New Roman" w:eastAsia="宋体" w:cs="Times New Roman"/>
          <w:b/>
          <w:bCs/>
          <w:color w:val="auto"/>
          <w:sz w:val="21"/>
          <w:szCs w:val="21"/>
          <w:highlight w:val="none"/>
        </w:rPr>
      </w:pPr>
    </w:p>
    <w:p>
      <w:pPr>
        <w:pStyle w:val="2"/>
        <w:rPr>
          <w:rFonts w:hint="default" w:ascii="Times New Roman" w:hAnsi="Times New Roman" w:eastAsia="宋体" w:cs="Times New Roman"/>
          <w:b/>
          <w:bCs/>
          <w:color w:val="auto"/>
          <w:sz w:val="21"/>
          <w:szCs w:val="21"/>
          <w:highlight w:val="none"/>
        </w:rPr>
      </w:pPr>
    </w:p>
    <w:p>
      <w:pPr>
        <w:pStyle w:val="2"/>
        <w:rPr>
          <w:rFonts w:hint="default" w:ascii="Times New Roman" w:hAnsi="Times New Roman" w:eastAsia="宋体" w:cs="Times New Roman"/>
          <w:b/>
          <w:bCs/>
          <w:color w:val="auto"/>
          <w:sz w:val="21"/>
          <w:szCs w:val="21"/>
          <w:highlight w:val="none"/>
        </w:rPr>
      </w:pPr>
    </w:p>
    <w:p>
      <w:pPr>
        <w:pStyle w:val="2"/>
        <w:rPr>
          <w:rFonts w:hint="default" w:ascii="Times New Roman" w:hAnsi="Times New Roman" w:eastAsia="宋体" w:cs="Times New Roman"/>
          <w:b/>
          <w:bCs/>
          <w:color w:val="auto"/>
          <w:sz w:val="21"/>
          <w:szCs w:val="21"/>
          <w:highlight w:val="none"/>
        </w:rPr>
      </w:pPr>
    </w:p>
    <w:p>
      <w:pPr>
        <w:pStyle w:val="2"/>
        <w:rPr>
          <w:rFonts w:hint="default" w:ascii="Times New Roman" w:hAnsi="Times New Roman" w:eastAsia="宋体" w:cs="Times New Roman"/>
          <w:b/>
          <w:bCs/>
          <w:color w:val="auto"/>
          <w:sz w:val="21"/>
          <w:szCs w:val="21"/>
          <w:highlight w:val="none"/>
        </w:rPr>
      </w:pPr>
    </w:p>
    <w:p>
      <w:pPr>
        <w:pStyle w:val="2"/>
        <w:rPr>
          <w:rFonts w:hint="default" w:ascii="Times New Roman" w:hAnsi="Times New Roman" w:eastAsia="宋体" w:cs="Times New Roman"/>
          <w:b/>
          <w:bCs/>
          <w:color w:val="auto"/>
          <w:sz w:val="21"/>
          <w:szCs w:val="21"/>
          <w:highlight w:val="none"/>
        </w:rPr>
      </w:pPr>
    </w:p>
    <w:p>
      <w:pPr>
        <w:pStyle w:val="2"/>
        <w:rPr>
          <w:rFonts w:hint="default" w:ascii="Times New Roman" w:hAnsi="Times New Roman" w:eastAsia="宋体" w:cs="Times New Roman"/>
          <w:b/>
          <w:bCs/>
          <w:color w:val="auto"/>
          <w:sz w:val="21"/>
          <w:szCs w:val="21"/>
          <w:highlight w:val="none"/>
        </w:rPr>
      </w:pPr>
    </w:p>
    <w:p>
      <w:pPr>
        <w:pStyle w:val="2"/>
        <w:rPr>
          <w:rFonts w:hint="default" w:ascii="Times New Roman" w:hAnsi="Times New Roman" w:eastAsia="宋体" w:cs="Times New Roman"/>
          <w:b/>
          <w:bCs/>
          <w:color w:val="auto"/>
          <w:sz w:val="21"/>
          <w:szCs w:val="21"/>
          <w:highlight w:val="none"/>
        </w:rPr>
      </w:pPr>
    </w:p>
    <w:p>
      <w:pPr>
        <w:pStyle w:val="2"/>
        <w:rPr>
          <w:rFonts w:hint="default" w:ascii="Times New Roman" w:hAnsi="Times New Roman" w:eastAsia="宋体" w:cs="Times New Roman"/>
          <w:b/>
          <w:bCs/>
          <w:color w:val="auto"/>
          <w:sz w:val="21"/>
          <w:szCs w:val="21"/>
          <w:highlight w:val="none"/>
        </w:rPr>
      </w:pP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sectPr>
          <w:pgSz w:w="11905" w:h="16840"/>
          <w:pgMar w:top="1440" w:right="1134" w:bottom="1440" w:left="1134" w:header="850" w:footer="992" w:gutter="0"/>
          <w:cols w:space="720" w:num="1"/>
          <w:docGrid w:type="linesAndChars" w:linePitch="312" w:charSpace="0"/>
        </w:sectPr>
      </w:pPr>
    </w:p>
    <w:p>
      <w:pPr>
        <w:keepNext/>
        <w:keepLines/>
        <w:spacing w:before="340" w:after="330" w:line="773" w:lineRule="exact"/>
        <w:jc w:val="center"/>
        <w:outlineLvl w:val="0"/>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第九节 其他报送数据</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一、其他重大社会安全问题情况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上市公司及其子公司是否存在其他重大社会安全问题</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 □不适用</w:t>
      </w:r>
    </w:p>
    <w:p>
      <w:pPr>
        <w:spacing w:before="10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报告期内是否被行政处罚</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xml:space="preserve">□是 </w:t>
      </w: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否 □不适用</w:t>
      </w:r>
    </w:p>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二、报告期内接待调研、沟通、采访等活动登记表</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接待时间</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接待地点</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接待方式</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接待对象类型</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接待对象</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谈论的主要内容及提供的资料</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调研的基本情况索引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2025年05月20日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网络接待（深交所互动易平台）</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网络平台线上交流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个人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个人投资者</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谈论的主要内容涉及公司2024年度经营情况、产业发展规划、业务布局、生产成本等方面。提供的资料：公司2024年年度报告、2025年第一季度报告。</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巨潮资讯网：2025-039，关于举行2024年度业绩说明会的公告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2025年06月12日</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网络接待（全景网）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网络平台线上交流</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个人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个人投资者</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谈论的主要内容涉及公司2024年度经营情况、产业发展规划、业务布局、生产成本等方面。提供的资料：公司2024年年度报告、2025年第一季度报告。</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巨潮资讯网：2025-045，关于参加湖北辖区上市公司2025年投资者网上集体接待日活动的公告</w:t>
            </w:r>
          </w:p>
        </w:tc>
      </w:tr>
      <w:bookmarkEnd w:id="84"/>
    </w:tbl>
    <w:p>
      <w:pPr>
        <w:keepNext/>
        <w:keepLines/>
        <w:spacing w:before="300" w:after="300" w:line="320" w:lineRule="exact"/>
        <w:jc w:val="left"/>
        <w:outlineLvl w:val="1"/>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三、上市公司与控股股东及其他关联方资金往来情况</w:t>
      </w:r>
    </w:p>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sym w:font="Wingdings 2" w:char="F052"/>
      </w:r>
      <w:r>
        <w:rPr>
          <w:rFonts w:hint="default" w:ascii="Times New Roman" w:hAnsi="Times New Roman" w:eastAsia="宋体" w:cs="Times New Roman"/>
          <w:color w:val="auto"/>
          <w:sz w:val="18"/>
          <w:szCs w:val="18"/>
          <w:highlight w:val="none"/>
        </w:rPr>
        <w:t>适用 □不适用</w:t>
      </w:r>
    </w:p>
    <w:p>
      <w:pPr>
        <w:spacing w:before="120" w:after="12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单位：万元</w:t>
      </w:r>
    </w:p>
    <w:tbl>
      <w:tblPr>
        <w:tblStyle w:val="5"/>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58"/>
        <w:gridCol w:w="1296"/>
        <w:gridCol w:w="1140"/>
        <w:gridCol w:w="1110"/>
        <w:gridCol w:w="1185"/>
        <w:gridCol w:w="1200"/>
        <w:gridCol w:w="1035"/>
        <w:gridCol w:w="10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往来方名称</w:t>
            </w:r>
          </w:p>
        </w:tc>
        <w:tc>
          <w:tcPr>
            <w:tcW w:w="129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往来性质</w:t>
            </w:r>
          </w:p>
        </w:tc>
        <w:tc>
          <w:tcPr>
            <w:tcW w:w="114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期初余额</w:t>
            </w:r>
          </w:p>
        </w:tc>
        <w:tc>
          <w:tcPr>
            <w:tcW w:w="11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报告期发生额</w:t>
            </w:r>
          </w:p>
        </w:tc>
        <w:tc>
          <w:tcPr>
            <w:tcW w:w="118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报告期偿还额</w:t>
            </w:r>
          </w:p>
        </w:tc>
        <w:tc>
          <w:tcPr>
            <w:tcW w:w="120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期末余额</w:t>
            </w:r>
          </w:p>
        </w:tc>
        <w:tc>
          <w:tcPr>
            <w:tcW w:w="1035"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利息收入</w:t>
            </w:r>
          </w:p>
        </w:tc>
        <w:tc>
          <w:tcPr>
            <w:tcW w:w="101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利息支出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85.66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85.66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国华（湖北）新能源有限公司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361.26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326.32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34.95</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国华（江苏）风电有限公司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国家能源集团科学技术研究院有限公司武汉分公司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161.33</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161.33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国家能源集团宁夏煤业有限责任公司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110.86</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110.86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国家能源集团乌海能源有限责任公司老石旦煤矿</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49.37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49.37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国家能源集团乌海能源有限责任公司骆驼山洗煤厂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国家能源集团物资有限公司华中分公司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国家能源集团国际工程咨询有限公司呼和浩特分公司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0.86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0.86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国能保险经纪（北京）有限公司武汉分公司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65.81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65.81</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国能（北京）综合管理服务有限公司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0.01</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国能（惠州）热电有限责任公司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国能大渡河陡岭子水电有限公司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国能龙源博奇环保科技（汉川）有限公司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1,751.08</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2,087.59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3,199.7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638.98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国能龙源环保有限公司荆州分公司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602.78</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1,586.86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1,947.46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242.18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国能龙源生态科技（武汉）有限公司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209.24</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549.43</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458.04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300.62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国能乌海能源黄白茨矿业有限责任公司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30.52</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30.52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国能乌海能源五虎山矿业有限责任公司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47.45</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47.45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国能氢能工程技术（武汉）有限公司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116.41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116.41</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4.04</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国能新朔铁路有限责任公司大准铁路分公司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643.53</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643.53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国能新朔铁路有限责任公司综合服务分公司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国能新朔准池铁路（山西）有限责任公司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254.17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254.17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国能新准铁路有限责任公司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50.99</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50.99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81.86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81.86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龙源保康风力发电有限公司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85.4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内蒙古阿拉善盟天荣煤炭有限责任公司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2,399.95</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1,103.02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2,399.95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1,103.02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乌海市公乌素煤业有限责任公司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43.51</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43.51</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烟台龙源电力技术股份有限公司武汉分公司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国能湖北松滋抽水蓄能有限公司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11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36,139.09</w:t>
            </w:r>
          </w:p>
        </w:tc>
        <w:tc>
          <w:tcPr>
            <w:tcW w:w="1185"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36,139.09</w:t>
            </w:r>
          </w:p>
        </w:tc>
        <w:tc>
          <w:tcPr>
            <w:tcW w:w="1200"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035"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line="240" w:lineRule="exact"/>
              <w:jc w:val="right"/>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0.00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国家能源集团共享服务中心有限公司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376.78</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897.5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860.24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414.04</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国家能源集团新疆能源化工有限公司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1,715.1</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16,580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13,033.57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5,261.53</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国家能源集团置业有限公司北京昌平中心</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71.65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70.79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1.53</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国能科慧（北京）实业有限公司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国家能源投资集团有限责任公司煤炭经营分公司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4,400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6,400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国能数智科技开发（北京）有限公司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38.38</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38.38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国家能源集团传媒中心有限公司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13.11</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23.37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30.44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6.04</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国家能源集团河南电力有限公司焦作电厂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0.5</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国家能源集团物资有限公司华中分公司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国能（绥中）发电有限责任公司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徐州电力高级技工学校</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0.9</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国能智深控制技术有限公司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101.21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101.21</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国能销售集团有限公司华中分公司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10,693.82</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206,160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186,070.39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30,783.43</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国能易购（北京）科技有限公司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4,572.86</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8,290.48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7,368.84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5,494.49</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93.83</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269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270.55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92.28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129</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国能易购（北京）科技有限公司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32,483.07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1,416.42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5,647.15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28,252.34</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国能（北京）电气技术有限公司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131.87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118.09</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国能智深控制技术有限公司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1,732.03</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114.6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1,746.9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99.73</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87.69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87.69</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北京国电电力有限公司大连开发区热电厂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北京国电电力有限公司浙江分公司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国电电力大连庄河发电有限责任公司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国电电力发展股份有限公司北京分公司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国电电力发展股份有限公司宣威分公司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国电电力湖南郴州风电开发有限公司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国电联合动力技术有限公司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国电武汉燃料有限公司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国家能源集团（海南）综合能源有限公司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国家能源集团宝庆发电有限公司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国家能源集团福建能源有限责任公司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国家能源集团甘肃电力有限公司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国家能源集团贵州电力有限公司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国家能源集团贵州电力有限公司红枫水力发电厂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国家能源集团贵州电力有限公司新能源分公司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国家能源集团海控新能源有限公司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国家能源集团海南电力有限公司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国家能源集团航运有限公司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国家能源集团河南电力有限公司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国家能源集团吉林电力有限公司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国家能源集团江苏电力有限公司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国家能源集团江西电力有限公司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国家能源集团江西电力有限公司万安水力发电厂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国家能源集团科技环保有限公司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11.58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7.38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国家能源集团乐东发电有限公司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国家能源集团辽宁电力有限公司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国家能源集团煤焦化有限责任公司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国家能源集团内蒙古电力有限公司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国家能源集团宁夏煤业有限责任公司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国家能源集团青海电力有限公司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国家能源集团山东电力有限公司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国家能源集团山东石横热电有限公司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国家能源集团山西电力有限公司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国家能源集团陕西电力有限公司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国家能源集团四川发电有限公司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国家能源集团泰州发电有限公司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国家能源集团乌海能源有限责任公司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国家能源集团物资有限公司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国家能源集团西藏电力有限公司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国家能源集团永州发电有限公司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国家能源集团岳阳发电有限公司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国家能源集团云南电力有限公司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国家能源集团置业有限公司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国家能源集团重庆电力有限公司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国家能源集团资本控股有限公司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国家能源投资集团有限责任公司金沙江分公司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国能（天津）港务有限责任公司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国能（西藏）尼洋河发电有限公司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国能安徽新能源投资开发有限责任公司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国能蚌埠发电有限公司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国能包神铁路集团有限责任公司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国能包头能源有限责任公司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国能宝日希勒能源有限公司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国能北电胜利能源有限公司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国能成都金堂发电有限公司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国能大渡河（咸丰）小河水电有限公司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65.24</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119.28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69.62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114.90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国能大渡河大岗山发电有限公司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国能大渡河陡岭子水电有限公司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国能大渡河堵河水电有限公司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国能大渡河革什扎水电开发有限公司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国能大渡河猴子岩发电有限公司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国能大渡河老渡口水电有限公司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116.22</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116.82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0.9</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国能大渡河流域水电开发有限公司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2.97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国能大渡河流域水电开发有限公司龚嘴水力发电总厂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国能大渡河沙坪发电有限公司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国能大渡河新能源投资有限公司富水水力发电厂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9.72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国能大渡河新能源投资有限公司南河水力发电厂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国能大渡河枕头坝发电有限公司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国能德宏发电有限公司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国能电力工程管理有限公司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国能哈尔滨热电有限公司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国能河北沧东发电有限责任公司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国能沪电（上海）工程技术有限公司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国能黄骅港务有限责任公司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国能黄金埠发电有限公司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国能吉林龙华热电股份有限公司长春热电一厂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国能济源热电有限公司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国能江西新能源产业有限公司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国能九江发电有限公司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国能龙源生态科技（武汉）有限公司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42.77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84.95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88.18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39.54</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国能孟津热电有限公司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国能民权热电有限公司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国能南宁发电有限公司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国能濮阳热电有限公司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国能清远发电有限责任公司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国能山西神头第二发电厂有限公司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国能神华九江发电有限责任公司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国能神皖安庆发电有限责任公司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国能神皖池州发电有限责任公司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国能神皖合肥发电有限责任公司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国能神皖马鞍山发电有限责任公司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国能神皖能源有限责任公司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国能数智科技开发（北京）有限公司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国能水务环保有限公司南京分公司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国能朔黄铁路发展有限责任公司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国能四川能源有限公司江油发电厂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国能宿州热电有限公司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国能铜陵发电有限公司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国能销售集团财务管理有限公司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国能新朔铁路有限责任公司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国能荥阳热电有限公司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国能阳宗海发电有限公司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国能榆林化工有限公司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11.16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11.16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国能粤电台山发电有限公司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国能浙江北仑第一发电有限公司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国能重庆电厂有限公司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国能重庆风电开发有限公司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国能重庆铁路运输有限公司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国能重庆万州电力有限责任公司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国能珠海港务有限公司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国能驻马店热电有限公司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国网能源哈密煤电有限公司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龙源电力集团股份有限公司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龙源电力集团股份有限公司财务共享服务分公司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内蒙古平庄煤业（集团）有限责任公司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神华神东电力有限责任公司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神华神东电力有限责任公司郭家湾电厂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神华准格尔能源有限责任公司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四川白马循环流化床示范电站有限责任公司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随州国能龙源环保科技有限公司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长沙能发新能源有限公司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中国神华能源股份有限公司广东分公司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中国神华能源股份有限公司河北分公司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中国神华能源股份有限公司湖南分公司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中国神华能源股份有限公司神东煤炭分公司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安徽国电皖能风电有限公司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北京国电电力有限公司萨拉齐电厂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北京国电电力有限公司上湾热电厂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赤峰龙源松州风力发电有限公司额尔古纳分公司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福建国电风力发电有限公司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甘肃国能风力发电有限公司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甘肃龙源新能源有限公司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广西国能能源发展有限公司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广西国能水电开发有限公司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广西龙源新能源有限公司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贵州龙源新能源有限公司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国电安徽毛尖山水电有限公司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国电北屯发电有限公司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国电承德华御新能源有限公司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国电电力朝阳热电有限公司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国电电力大同发电有限责任公司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国电电力发展股份有限公司北京朝阳技术咨询分公司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10.17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国电电力发展股份有限公司和禹水电开发公司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国电电力发展股份有限公司河南分公司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国电电力瓜州风力发电有限公司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国电电力广东新能源开发有限公司雷州分公司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国电电力广西风电开发有限公司东兰分公司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国电电力广西风电开发有限公司罗城分公司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国电电力邯郸东郊热电有限责任公司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国电电力河北新能源开发有限公司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国电电力江西新能源开发有限公司大余分公司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国电电力宁夏新能源开发有限公司青铜峡分公司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国电电力青海万立水电开发有限公司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国电电力清能鄂托克前旗有限公司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国电电力山西新能源开发有限公司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国电电力双维内蒙古上海庙能源有限公司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国电电力乌拉特后旗风力发电有限公司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国电电力新疆新能源开发有限公司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国电电力云南新能源开发有限公司昆明分公司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国电电力浙江瓯江水电开发有限公司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国电电力诸城风力发电有限公司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国电和风风电开发有限公司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国电河南新能源有限公司西平分公司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国电环境保护研究院有限公司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国电建投内蒙古能源有限公司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国电洁能金科（山西）有限公司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国电联合动力技术有限公司北京技术开发分公司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国电联合动力技术有限公司北京销售分公司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国电龙源龙川风力发电有限公司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国电奈曼风电有限公司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国电内蒙古东胜热电有限公司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国电宁波风电开发有限公司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国电申能唐山曹妃甸区太阳能发电有限公司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国电四子王旗光伏发电有限公司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国电象山海上风电有限公司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国华（昌邑）新能源有限公司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1.17</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国华（赤城）风电有限公司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国华（哈密）新能源有限公司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国华（海南）新能源有限公司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国华（湖北）新能源有限公司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国华（江苏）风电有限公司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国华（宁夏）新能源有限公司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国华（栖霞）风力发电有限公司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国华（齐齐哈尔）风电有限公司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国华（乾安）风电有限公司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国华（山西）新能源有限公司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国华（汕尾）风电有限公司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国华（沈阳）新能源有限公司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国华（天津）新能源有限公司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国华（铜川）新能源有限公司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国华巴彦淖尔（乌拉特中旗）风电有限公司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国华蒙东（内蒙古）新能源有限公司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国家能源（山东）工程技术有限公司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国家能源（山东）工程技术有限公司东营分公司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国家能源博兴发电有限公司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国家能源费县发电有限公司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国家能源集团国源电力有限公司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国家能源集团国源电力有限公司山东新能源分公司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国家能源集团黑龙江电力有限公司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国家能源集团湖北能源有限公司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国家能源集团华北电力有限公司廊坊热电厂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国家能源集团焦作电厂有限公司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国家能源集团金沙江奔子栏水电有限公司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国家能源集团科学技术研究院有限公司成都分公司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国家能源集团科学技术研究院有限公司沈阳分公司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国家能源集团科学技术研究院有限公司武汉分公司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国家能源集团辽宁电力有限公司沈西热电厂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国家能源集团宁夏电力有限公司新能源分公司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国家能源集团青海电力有限公司玛尔挡分公司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国家能源集团山西电力有限公司霍州发电厂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国家能源集团山西电力有限公司太原第一热电厂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国家能源集团陕西电力有限公司榆神热电分公司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国家能源集团上海电力有限公司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国家能源集团四川发电有限公司南桠河水电分公司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国家能源集团宿迁发电有限公司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国家能源集团天津电力有限公司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国家能源集团西藏电力有限公司那曲分公司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国家能源集团新疆吉林台水电开发有限公司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国家能源集团新疆开都河流域水电开发有限公司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国家能源集团新疆能源化工有限公司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1.95</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国家能源集团雄安能源有限公司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国家能源集团云南电力有限公司大寨分公司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国家能源莒南新能源有限公司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国家能源聊城发电有限公司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国家能源蓬莱发电有限公司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国家能源泰安热电有限公司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国家能源投资集团有限责任公司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国能（大柴旦）光伏发电有限公司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国能（东营）热电有限公司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国能（福州）热电有限公司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国能（广东）能源发展有限公司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国能（海北刚察）新能源开发有限公司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国能（河曲）热电有限公司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国能（惠州）热电有限责任公司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国能（连江）港电有限公司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国能（清远）清洁能源有限公司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国能（琼海）新能源有限公司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国能（泉州）热电有限公司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国能（山东）能源环境有限公司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国能（绥中）发电有限责任公司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国能（天津）大港发电厂有限公司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国能（肇庆）热电有限公司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国能（柘荣）水电有限公司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国能（浙江）能源发展有限公司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国能宝清煤电化有限公司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国能保定发电有限公司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国能北安热电有限公司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国能博州新能源有限公司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国能常州发电有限公司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国能陈家港发电有限公司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国能城固水电有限公司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国能达州发电有限公司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国能大渡河检修安装有限公司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国能大渡河金川水电建设有限公司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国能大渡河老鹰岩（四川）水电有限公司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国能大渡河流域水电开发有限公司枕沙水电建设管理分公司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国能大渡河瀑布沟发电有限公司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国能大渡河新能源投资有限公司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国能大武口热电有限公司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国能迪庆香格里拉发电有限公司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国能电力技术工程有限公司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国能定边新能源有限公司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国能东北新能源发展有限公司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国能丰城发电有限公司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国能广投北海发电有限公司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国能广投柳州发电有限公司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国能锅炉压力容器检验有限公司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国能河北定州发电有限责任公司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国能河北龙山发电有限责任公司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国能河北综合能源有限公司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国能黑龙江新能源有限公司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国能湖北松滋抽水蓄能有限公司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4.68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国能怀安热电有限公司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国能吉林电力工程技术有限公司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国能吉林江南热电有限公司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国能吉林龙华热电股份有限公司白城热电厂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国能吉林龙华热电股份有限公司吉林热电厂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国能吉林龙华热电股份有限公司延吉热电厂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国能吉林新能源发展有限公司通榆分公司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国能江苏电力工程技术有限公司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国能江苏谏壁发电有限公司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国能江苏新能源科技开发有限公司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国能江西工程技术有限公司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国能锦界能源有限责任公司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2.4</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国能开远发电有限公司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国能康平发电有限公司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国能科环新能源有限责任公司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国能联合动力技术（保定）有限公司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国能联合动力智慧能源（张家口）有限公司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国能辽宁环保产业集团有限公司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国能辽宁热力有限公司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国能龙源电力技术工程有限责任公司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国能龙源环保有限公司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国能南京电力试验研究有限公司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国能内蒙古呼伦贝尔发电有限公司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国能内蒙古西来峰电力有限公司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国能宁东第一发电有限公司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国能宁夏大坝发电有限责任公司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国能宁夏灵武发电有限公司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国能宁夏石嘴山发电有限责任公司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国能宁夏鸳鸯湖第一发电有限公司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国能平罗发电有限公司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国能普洱发电有限公司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国能青豫（共和）新能源开发有限公司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国能山西河曲发电有限公司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国能神福（晋江）热电有限公司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国能神福（龙岩）发电有限公司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国能神福（石狮）发电有限公司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国能寿光发电有限责任公司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国能双辽发电有限公司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国能双鸭山发电有限公司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国能水务环保有限公司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国能思达科技有限公司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国能四川阿水电力开发有限公司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国能四川电力股份有限公司南桠河发电厂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国能四川东谷河流域水电开发有限公司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国能四川华蓥山发电有限公司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国能四川毛滩水电开发有限公司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国能四川能源有限公司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国能四川天明发电有限公司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0.99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0.99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国能太仓发电有限公司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国能唐县新能源有限公司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国能投（河南）清洁能源有限责任公司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国能西部（四川）能源有限公司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国能新疆阿克苏水电开发有限公司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国能新疆电力有限公司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国能新疆甘泉堡综合能源有限公司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国能徐州发电有限公司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国能亿利能源有限责任公司电厂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国能永福发电有限公司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国能榆次热电有限公司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国能云南新能源开发有限公司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国能浙江南浔天然气热电有限公司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国能浙江宁海发电有限公司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国能浙江余姚燃气发电有限责任公司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国能浙江舟山发电有限责任公司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国能浙能宁东发电有限公司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国能智深控制技术有限公司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国能中卫热电有限公司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国网能源哈密煤电有限公司花园电厂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国网能源和丰煤电有限公司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海南国能龙源新能源有限公司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合浦丰能风力发电有限公司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河北龙源新能源有限公司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湖北龙源新能源有限公司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吉林龙源新能源有限公司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江苏海上龙源新能源有限公司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江西龙源新能源有限公司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辽宁国电电力能源有限公司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辽宁龙源新能源发展有限公司康平分公司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龙源（北京）新能源工程技术有限公司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龙源（天津滨海新区）风力发电有限公司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龙源巴里坤风力发电有限公司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龙源达茂风力发电有限公司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龙源大丰风力发电有限公司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龙源大理风力发电有限公司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龙源电力集团四川新能源有限公司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龙源凤阳风力发电有限公司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龙源临沂风力发电有限公司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龙源平潭风力发电有限公司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龙源西藏日喀则新能源有限公司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内蒙古国华准格尔发电有限责任公司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内蒙古蒙东能源有限公司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宁夏龙源新能源有限公司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宁夏宁鲁煤电有限责任公司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宁夏英力特化工股份有限公司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秦皇岛发电有限责任公司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青海龙源新能源有限公司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山东龙源新能源有限公司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山东中华发电有限公司菏泽发电厂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山西龙源新能源有限公司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山西鲁晋王曲发电有限责任公司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陕西德源府谷能源有限公司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陕西龙源新能源有限公司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陕西榆神能源热电有限公司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神华（天津）新能源技术有限责任公司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神华国华国际电力股份有限公司北京热电分公司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神华神东电力有限责任公司店塔电厂</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神华神东电力有限责任公司新能源分公司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神华准格尔能源有限责任公司矸石发电分公司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双鸭山龙源风力发电有限公司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四川大渡河双江口水电开发有限公司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塔城天润风力发电有限公司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天津滨海电力有限公司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天津国能华北电力技术工程有限公司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天津国能津能滨海热电有限公司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天津国能津能热电有限公司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天津国能盘山发电有限责任公司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乌拉特中旗鲁能风电有限责任公司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新疆龙源新能源有限公司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新田龙源新能源有限公司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烟台龙源电力技术股份有限公司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永泰大樟溪界竹口水电有限公司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元宝山发电有限责任公司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浙江龙源新能源发展有限公司苍南分公司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中国神华能源股份有限公司广西分公司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3.18</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中国神华能源股份有限公司河南分公司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0.39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国电物流有限公司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5.94</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5.94</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国能长源湖北新能源有限公司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6,720.08</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12,600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2,200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17,207.81</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87.73</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国能长源潜江新能源有限公司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2,008.64</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2,015.6</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6.97</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20,745.75</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16,500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17,600.61</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154.86</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国能长源武汉实业有限公司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7,645.93</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1,086.24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6,638.3</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78.61</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国能长源恩施水电开发有限公司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52,427.85</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52,427.85</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52,717.62</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57,000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48,673.69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61,700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656.07</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国能长源荆州新能源有限公司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国能长源武汉青山热电有限公司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36,025.99</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4,500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9,025.99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31,851.03</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351.03</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国能长源十堰水电开发有限公司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15,935.69</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16,135.69</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国能长源随州发电有限公司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17,000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15,005.38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5.38</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国能长源汉川新能源有限公司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502.07</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2.07</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国能长源安陆新能源有限公司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605.32</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109.49</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4.17</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国能长源石首综合能源有限公司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国能长源随县新能源有限公司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20,162.12</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124.32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10,049.49</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10,236.95</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国能长源公安县新能源有限公司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12,068.66</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11,698.93</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130.26</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国能长源荆门屈家岭新能源有限公司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2,718.07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1,200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3,000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937.88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19.81</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国能长源谷城新能源有限公司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6,558.46</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43.41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2,344.54</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4,257.34</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禹州市兴华煤业有限公司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321.83</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禹州市安兴煤业有限公司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303.95</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国电长源河南煤业有限公司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27,296.07</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葛洲坝汉川汉电水泥有限公司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67.5</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31.51</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99.01</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瑞泰人寿保险有限公司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20.83</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145.87</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20.78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145.92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长江财产保险股份有限公司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18.87</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18.87</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1.72</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trPr>
        <w:tc>
          <w:tcPr>
            <w:tcW w:w="1658"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河南东升煤业有限公司</w:t>
            </w:r>
          </w:p>
        </w:tc>
        <w:tc>
          <w:tcPr>
            <w:tcW w:w="129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非经营性往来</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1,084.98</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0" w:hRule="atLeast"/>
        </w:trPr>
        <w:tc>
          <w:tcPr>
            <w:tcW w:w="165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合计</w:t>
            </w:r>
          </w:p>
        </w:tc>
        <w:tc>
          <w:tcPr>
            <w:tcW w:w="1296"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w:t>
            </w:r>
          </w:p>
        </w:tc>
        <w:tc>
          <w:tcPr>
            <w:tcW w:w="114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rPr>
              <w:t>328,147.1</w:t>
            </w:r>
            <w:r>
              <w:rPr>
                <w:rFonts w:hint="default" w:ascii="Times New Roman" w:hAnsi="Times New Roman" w:cs="Times New Roman"/>
                <w:color w:val="auto"/>
                <w:sz w:val="18"/>
                <w:szCs w:val="18"/>
                <w:highlight w:val="none"/>
                <w:lang w:val="en-US" w:eastAsia="zh-CN"/>
              </w:rPr>
              <w:t>9</w:t>
            </w:r>
          </w:p>
        </w:tc>
        <w:tc>
          <w:tcPr>
            <w:tcW w:w="11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3</w:t>
            </w:r>
            <w:r>
              <w:rPr>
                <w:rFonts w:hint="default" w:ascii="Times New Roman" w:hAnsi="Times New Roman" w:cs="Times New Roman"/>
                <w:color w:val="auto"/>
                <w:sz w:val="18"/>
                <w:szCs w:val="18"/>
                <w:highlight w:val="none"/>
                <w:lang w:val="en-US" w:eastAsia="zh-CN"/>
              </w:rPr>
              <w:t>93,155</w:t>
            </w:r>
            <w:r>
              <w:rPr>
                <w:rFonts w:hint="default" w:ascii="Times New Roman" w:hAnsi="Times New Roman" w:cs="Times New Roman"/>
                <w:color w:val="auto"/>
                <w:sz w:val="18"/>
                <w:szCs w:val="18"/>
                <w:highlight w:val="none"/>
              </w:rPr>
              <w:t>.1</w:t>
            </w:r>
            <w:r>
              <w:rPr>
                <w:rFonts w:hint="default" w:ascii="Times New Roman" w:hAnsi="Times New Roman" w:cs="Times New Roman"/>
                <w:color w:val="auto"/>
                <w:sz w:val="18"/>
                <w:szCs w:val="18"/>
                <w:highlight w:val="none"/>
                <w:lang w:val="en-US" w:eastAsia="zh-CN"/>
              </w:rPr>
              <w:t>9</w:t>
            </w:r>
          </w:p>
        </w:tc>
        <w:tc>
          <w:tcPr>
            <w:tcW w:w="118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3</w:t>
            </w:r>
            <w:r>
              <w:rPr>
                <w:rFonts w:hint="default" w:ascii="Times New Roman" w:hAnsi="Times New Roman" w:cs="Times New Roman"/>
                <w:color w:val="auto"/>
                <w:sz w:val="18"/>
                <w:szCs w:val="18"/>
                <w:highlight w:val="none"/>
                <w:lang w:val="en-US" w:eastAsia="zh-CN"/>
              </w:rPr>
              <w:t>85</w:t>
            </w:r>
            <w:r>
              <w:rPr>
                <w:rFonts w:hint="default" w:ascii="Times New Roman" w:hAnsi="Times New Roman" w:eastAsia="宋体"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360.98</w:t>
            </w:r>
          </w:p>
        </w:tc>
        <w:tc>
          <w:tcPr>
            <w:tcW w:w="120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cs="Times New Roman"/>
                <w:color w:val="auto"/>
                <w:sz w:val="18"/>
                <w:szCs w:val="18"/>
                <w:highlight w:val="none"/>
              </w:rPr>
              <w:t>337</w:t>
            </w:r>
            <w:r>
              <w:rPr>
                <w:rFonts w:hint="default" w:ascii="Times New Roman" w:hAnsi="Times New Roman" w:cs="Times New Roman"/>
                <w:color w:val="auto"/>
                <w:sz w:val="18"/>
                <w:szCs w:val="18"/>
                <w:highlight w:val="none"/>
                <w:lang w:val="en-US" w:eastAsia="zh-CN"/>
              </w:rPr>
              <w:t>,</w:t>
            </w:r>
            <w:r>
              <w:rPr>
                <w:rFonts w:hint="default" w:ascii="Times New Roman" w:hAnsi="Times New Roman" w:cs="Times New Roman"/>
                <w:color w:val="auto"/>
                <w:sz w:val="18"/>
                <w:szCs w:val="18"/>
                <w:highlight w:val="none"/>
              </w:rPr>
              <w:t>438.37</w:t>
            </w:r>
          </w:p>
        </w:tc>
        <w:tc>
          <w:tcPr>
            <w:tcW w:w="1035"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1,496.97</w:t>
            </w:r>
          </w:p>
        </w:tc>
        <w:tc>
          <w:tcPr>
            <w:tcW w:w="1016"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trPr>
        <w:tc>
          <w:tcPr>
            <w:tcW w:w="165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相关的决策程序</w:t>
            </w:r>
          </w:p>
        </w:tc>
        <w:tc>
          <w:tcPr>
            <w:tcW w:w="798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公司严格按照《国家能源集团长源电力股份有限公司资金管理办法》执行资金支付审批流程。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658"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资金安全保障措施</w:t>
            </w:r>
          </w:p>
        </w:tc>
        <w:tc>
          <w:tcPr>
            <w:tcW w:w="7982" w:type="dxa"/>
            <w:gridSpan w:val="7"/>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建立健全债务风险应急组织体系，加强债务风险的识别、预防、预警、隔离及报告机制。当出现资金风险时，立即启动应急预案并按程序逐级上报。强化内控，建立闭环管理流程，明确权限、程序和责任，确保业务经办和审核职能相互分离、相互制约和监督。严格按照公司信息化建设统一部署，持续加强资金安全管控信息化手段，健全监控体系，加大监管力度。</w:t>
            </w:r>
          </w:p>
        </w:tc>
      </w:tr>
    </w:tbl>
    <w:p>
      <w:pPr>
        <w:pStyle w:val="2"/>
        <w:rPr>
          <w:rFonts w:hint="default" w:ascii="Times New Roman" w:hAnsi="Times New Roman" w:eastAsia="宋体" w:cs="Times New Roman"/>
          <w:b/>
          <w:bCs/>
          <w:color w:val="auto"/>
          <w:sz w:val="21"/>
          <w:szCs w:val="21"/>
          <w:highlight w:val="none"/>
        </w:rPr>
      </w:pPr>
    </w:p>
    <w:sectPr>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right"/>
    </w:pPr>
    <w:r>
      <w:rPr>
        <w:rFonts w:ascii="宋体" w:eastAsia="宋体"/>
        <w:sz w:val="18"/>
        <w:szCs w:val="18"/>
      </w:rPr>
      <w:t>国家能源集团长源电力股份有限公司2025年半年度报告全文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
  <w:rsids>
    <w:rsidRoot w:val="00000000"/>
    <w:rsid w:val="03C15FF0"/>
    <w:rsid w:val="061E0340"/>
    <w:rsid w:val="08CA00E4"/>
    <w:rsid w:val="14065E80"/>
    <w:rsid w:val="187C6135"/>
    <w:rsid w:val="1954059A"/>
    <w:rsid w:val="1ADB3D3B"/>
    <w:rsid w:val="20AD163F"/>
    <w:rsid w:val="21F94B5A"/>
    <w:rsid w:val="22020738"/>
    <w:rsid w:val="22117AF7"/>
    <w:rsid w:val="231F4F84"/>
    <w:rsid w:val="24304092"/>
    <w:rsid w:val="24F84F16"/>
    <w:rsid w:val="276C6D8F"/>
    <w:rsid w:val="2D1E1870"/>
    <w:rsid w:val="31FA30F9"/>
    <w:rsid w:val="3E5D07AD"/>
    <w:rsid w:val="45A03639"/>
    <w:rsid w:val="47AB7DDB"/>
    <w:rsid w:val="4A0555C7"/>
    <w:rsid w:val="4A3A0625"/>
    <w:rsid w:val="502D5F26"/>
    <w:rsid w:val="522415F6"/>
    <w:rsid w:val="5DAB1F64"/>
    <w:rsid w:val="5E9304EB"/>
    <w:rsid w:val="620E10B2"/>
    <w:rsid w:val="62FE7471"/>
    <w:rsid w:val="666D7E19"/>
    <w:rsid w:val="6671015E"/>
    <w:rsid w:val="66A209E6"/>
    <w:rsid w:val="68085DE2"/>
    <w:rsid w:val="68C7742E"/>
    <w:rsid w:val="6CEE4957"/>
    <w:rsid w:val="6F460A9E"/>
    <w:rsid w:val="7048533A"/>
    <w:rsid w:val="756F56C1"/>
    <w:rsid w:val="762E63F0"/>
    <w:rsid w:val="764115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character" w:customStyle="1" w:styleId="9">
    <w:name w:val="font31"/>
    <w:basedOn w:val="6"/>
    <w:qFormat/>
    <w:uiPriority w:val="0"/>
    <w:rPr>
      <w:rFonts w:hint="eastAsia" w:ascii="宋体" w:hAnsi="宋体" w:eastAsia="宋体" w:cs="宋体"/>
      <w:color w:val="000000"/>
      <w:sz w:val="18"/>
      <w:szCs w:val="18"/>
      <w:u w:val="none"/>
    </w:rPr>
  </w:style>
  <w:style w:type="character" w:customStyle="1" w:styleId="10">
    <w:name w:val="font51"/>
    <w:basedOn w:val="6"/>
    <w:qFormat/>
    <w:uiPriority w:val="0"/>
    <w:rPr>
      <w:rFonts w:hint="default" w:ascii="Times New Roman" w:hAnsi="Times New Roman" w:cs="Times New Roman"/>
      <w:color w:val="000000"/>
      <w:sz w:val="18"/>
      <w:szCs w:val="18"/>
      <w:u w:val="none"/>
    </w:rPr>
  </w:style>
  <w:style w:type="character" w:customStyle="1" w:styleId="11">
    <w:name w:val="font1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2025-08-01T03:18:00Z</dcterms:created>
  <dc:creator>LSadmin</dc:creator>
  <cp:lastModifiedBy>刘硕02</cp:lastModifiedBy>
  <cp:lastPrinted>2025-08-19T02:37:00Z</cp:lastPrinted>
  <dcterms:modified xsi:type="dcterms:W3CDTF">2025-08-22T06:51:32Z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67C10CD9FC5B47BC8C07A3428AB7855B</vt:lpwstr>
  </property>
</Properties>
</file>